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387C7645" w:rsidR="00231BF8" w:rsidRPr="00F31A51" w:rsidRDefault="00231BF8" w:rsidP="001131BE">
      <w:pPr>
        <w:tabs>
          <w:tab w:val="left" w:pos="1980"/>
        </w:tabs>
        <w:spacing w:after="180" w:line="276" w:lineRule="auto"/>
        <w:rPr>
          <w:rFonts w:cs="Arial"/>
          <w:b/>
          <w:noProof/>
          <w:sz w:val="24"/>
          <w:lang w:eastAsia="en-US"/>
        </w:rPr>
      </w:pPr>
      <w:r w:rsidRPr="00F31A51">
        <w:rPr>
          <w:rFonts w:cs="Arial"/>
          <w:b/>
          <w:noProof/>
          <w:sz w:val="24"/>
          <w:lang w:eastAsia="en-US"/>
        </w:rPr>
        <w:t>3GPP TSG-RAN WG2 Meeting #</w:t>
      </w:r>
      <w:r w:rsidR="00D0226B">
        <w:rPr>
          <w:rFonts w:cs="Arial"/>
          <w:b/>
          <w:noProof/>
          <w:sz w:val="24"/>
          <w:lang w:eastAsia="en-US"/>
        </w:rPr>
        <w:t>120</w:t>
      </w:r>
      <w:r w:rsidRPr="00F31A51">
        <w:rPr>
          <w:rFonts w:cs="Arial"/>
          <w:b/>
          <w:noProof/>
          <w:sz w:val="24"/>
          <w:lang w:eastAsia="en-US"/>
        </w:rPr>
        <w:tab/>
        <w:t xml:space="preserve">                     </w:t>
      </w:r>
      <w:r w:rsidR="00D0226B">
        <w:rPr>
          <w:rFonts w:cs="Arial"/>
          <w:b/>
          <w:noProof/>
          <w:sz w:val="24"/>
          <w:lang w:eastAsia="en-US"/>
        </w:rPr>
        <w:tab/>
      </w:r>
      <w:r w:rsidR="00D0226B">
        <w:rPr>
          <w:rFonts w:cs="Arial"/>
          <w:b/>
          <w:noProof/>
          <w:sz w:val="24"/>
          <w:lang w:eastAsia="en-US"/>
        </w:rPr>
        <w:tab/>
        <w:t xml:space="preserve">  </w:t>
      </w:r>
      <w:r w:rsidR="009F7F16" w:rsidRPr="00F31A51">
        <w:rPr>
          <w:rFonts w:cs="Arial"/>
          <w:b/>
          <w:noProof/>
          <w:sz w:val="24"/>
          <w:lang w:eastAsia="en-US"/>
        </w:rPr>
        <w:t>R2-</w:t>
      </w:r>
      <w:r w:rsidR="00844B85" w:rsidRPr="00F31A51">
        <w:rPr>
          <w:rFonts w:cs="Arial"/>
          <w:b/>
          <w:noProof/>
          <w:sz w:val="24"/>
          <w:lang w:eastAsia="en-US"/>
        </w:rPr>
        <w:t>2</w:t>
      </w:r>
      <w:r w:rsidR="006731B9" w:rsidRPr="00F31A51">
        <w:rPr>
          <w:rFonts w:cs="Arial"/>
          <w:b/>
          <w:noProof/>
          <w:sz w:val="24"/>
          <w:lang w:eastAsia="en-US"/>
        </w:rPr>
        <w:t>2</w:t>
      </w:r>
      <w:r w:rsidR="004A2C05">
        <w:rPr>
          <w:rFonts w:cs="Arial"/>
          <w:b/>
          <w:noProof/>
          <w:sz w:val="24"/>
        </w:rPr>
        <w:t>11864</w:t>
      </w:r>
    </w:p>
    <w:p w14:paraId="392BBBCE" w14:textId="439109E8" w:rsidR="00672252" w:rsidRPr="00F31A51" w:rsidRDefault="00D0226B" w:rsidP="001131BE">
      <w:pPr>
        <w:tabs>
          <w:tab w:val="left" w:pos="1980"/>
        </w:tabs>
        <w:spacing w:after="180" w:line="276" w:lineRule="auto"/>
        <w:rPr>
          <w:rFonts w:cs="Arial"/>
          <w:b/>
          <w:noProof/>
          <w:sz w:val="24"/>
          <w:lang w:eastAsia="en-US"/>
        </w:rPr>
      </w:pPr>
      <w:r>
        <w:rPr>
          <w:rFonts w:cs="Arial"/>
          <w:b/>
          <w:noProof/>
          <w:sz w:val="24"/>
          <w:lang w:eastAsia="en-US"/>
        </w:rPr>
        <w:t>Toulouse</w:t>
      </w:r>
      <w:r w:rsidR="00231BF8" w:rsidRPr="00F31A51">
        <w:rPr>
          <w:rFonts w:cs="Arial"/>
          <w:b/>
          <w:noProof/>
          <w:sz w:val="24"/>
          <w:lang w:eastAsia="en-US"/>
        </w:rPr>
        <w:t xml:space="preserve">, </w:t>
      </w:r>
      <w:r>
        <w:rPr>
          <w:rFonts w:cs="Arial"/>
          <w:b/>
          <w:noProof/>
          <w:sz w:val="24"/>
          <w:lang w:eastAsia="en-US"/>
        </w:rPr>
        <w:t>November</w:t>
      </w:r>
      <w:r w:rsidR="00231BF8" w:rsidRPr="00F31A51">
        <w:rPr>
          <w:rFonts w:cs="Arial"/>
          <w:b/>
          <w:noProof/>
          <w:sz w:val="24"/>
          <w:lang w:eastAsia="en-US"/>
        </w:rPr>
        <w:t>, 202</w:t>
      </w:r>
      <w:r w:rsidR="006731B9" w:rsidRPr="00F31A51">
        <w:rPr>
          <w:rFonts w:cs="Arial"/>
          <w:b/>
          <w:noProof/>
          <w:sz w:val="24"/>
          <w:lang w:eastAsia="en-US"/>
        </w:rPr>
        <w:t>2</w:t>
      </w:r>
    </w:p>
    <w:p w14:paraId="5DD0A726" w14:textId="77777777" w:rsidR="00231BF8" w:rsidRPr="00F31A51" w:rsidRDefault="00231BF8" w:rsidP="001131BE">
      <w:pPr>
        <w:tabs>
          <w:tab w:val="left" w:pos="1980"/>
        </w:tabs>
        <w:spacing w:after="180" w:line="276" w:lineRule="auto"/>
        <w:rPr>
          <w:rFonts w:cs="Arial"/>
          <w:b/>
          <w:bCs/>
          <w:sz w:val="24"/>
          <w:lang w:eastAsia="en-US"/>
        </w:rPr>
      </w:pPr>
    </w:p>
    <w:p w14:paraId="28A94A6D" w14:textId="5826D84C" w:rsidR="00495DB1" w:rsidRPr="00F31A51" w:rsidRDefault="00495DB1" w:rsidP="001131BE">
      <w:pPr>
        <w:tabs>
          <w:tab w:val="left" w:pos="1980"/>
        </w:tabs>
        <w:spacing w:after="180" w:line="276" w:lineRule="auto"/>
        <w:rPr>
          <w:rFonts w:cs="Arial"/>
          <w:b/>
          <w:bCs/>
          <w:sz w:val="24"/>
          <w:lang w:val="en-US"/>
        </w:rPr>
      </w:pPr>
      <w:r w:rsidRPr="00F31A51">
        <w:rPr>
          <w:rFonts w:cs="Arial"/>
          <w:b/>
          <w:bCs/>
          <w:sz w:val="24"/>
          <w:lang w:val="en-US" w:eastAsia="en-US"/>
        </w:rPr>
        <w:t>Agenda Item:</w:t>
      </w:r>
      <w:r w:rsidRPr="00F31A51">
        <w:rPr>
          <w:rFonts w:cs="Arial"/>
          <w:b/>
          <w:bCs/>
          <w:sz w:val="24"/>
          <w:lang w:val="en-US" w:eastAsia="en-US"/>
        </w:rPr>
        <w:tab/>
      </w:r>
      <w:r w:rsidR="00143FC8" w:rsidRPr="00F31A51">
        <w:rPr>
          <w:rFonts w:cs="Arial"/>
          <w:b/>
          <w:bCs/>
          <w:sz w:val="24"/>
          <w:lang w:val="en-US"/>
        </w:rPr>
        <w:t>8.4.</w:t>
      </w:r>
      <w:r w:rsidR="00086A9C">
        <w:rPr>
          <w:rFonts w:cs="Arial"/>
          <w:b/>
          <w:bCs/>
          <w:sz w:val="24"/>
          <w:lang w:val="en-US"/>
        </w:rPr>
        <w:t>2.2</w:t>
      </w:r>
    </w:p>
    <w:p w14:paraId="0199077A" w14:textId="77777777" w:rsidR="00495DB1" w:rsidRPr="00F31A51" w:rsidRDefault="00495DB1" w:rsidP="001131BE">
      <w:pPr>
        <w:tabs>
          <w:tab w:val="left" w:pos="1979"/>
          <w:tab w:val="left" w:pos="2100"/>
          <w:tab w:val="left" w:pos="2520"/>
          <w:tab w:val="left" w:pos="4180"/>
        </w:tabs>
        <w:spacing w:after="180" w:line="276" w:lineRule="auto"/>
        <w:rPr>
          <w:rFonts w:cs="Arial"/>
          <w:b/>
          <w:bCs/>
          <w:sz w:val="24"/>
          <w:lang w:val="en-US"/>
        </w:rPr>
      </w:pPr>
      <w:r w:rsidRPr="00F31A51">
        <w:rPr>
          <w:rFonts w:cs="Arial"/>
          <w:b/>
          <w:bCs/>
          <w:sz w:val="24"/>
          <w:lang w:val="en-US" w:eastAsia="en-US"/>
        </w:rPr>
        <w:t xml:space="preserve">Source: </w:t>
      </w:r>
      <w:r w:rsidRPr="00F31A51">
        <w:rPr>
          <w:rFonts w:cs="Arial"/>
          <w:b/>
          <w:bCs/>
          <w:sz w:val="24"/>
          <w:lang w:val="en-US" w:eastAsia="en-US"/>
        </w:rPr>
        <w:tab/>
        <w:t>OPPO</w:t>
      </w:r>
    </w:p>
    <w:p w14:paraId="66C0788F" w14:textId="179980CB" w:rsidR="00495DB1" w:rsidRPr="00F31A51" w:rsidRDefault="00495DB1" w:rsidP="001131BE">
      <w:pPr>
        <w:tabs>
          <w:tab w:val="left" w:pos="2100"/>
        </w:tabs>
        <w:spacing w:after="180" w:line="276" w:lineRule="auto"/>
        <w:ind w:left="1979" w:hanging="1979"/>
        <w:rPr>
          <w:rFonts w:cs="Arial"/>
          <w:b/>
          <w:bCs/>
          <w:sz w:val="24"/>
          <w:lang w:val="en-US"/>
        </w:rPr>
      </w:pPr>
      <w:r w:rsidRPr="00F31A51">
        <w:rPr>
          <w:rFonts w:cs="Arial"/>
          <w:b/>
          <w:bCs/>
          <w:sz w:val="24"/>
          <w:lang w:val="en-US" w:eastAsia="en-US"/>
        </w:rPr>
        <w:t xml:space="preserve">Title:  </w:t>
      </w:r>
      <w:r w:rsidRPr="00F31A51">
        <w:rPr>
          <w:rFonts w:cs="Arial"/>
          <w:b/>
          <w:bCs/>
          <w:sz w:val="24"/>
          <w:lang w:val="en-US" w:eastAsia="en-US"/>
        </w:rPr>
        <w:tab/>
      </w:r>
      <w:r w:rsidR="00853330">
        <w:rPr>
          <w:rFonts w:cs="Arial"/>
          <w:b/>
          <w:bCs/>
          <w:sz w:val="24"/>
          <w:lang w:val="en-US" w:eastAsia="en-US"/>
        </w:rPr>
        <w:t xml:space="preserve">Discussion on </w:t>
      </w:r>
      <w:r w:rsidR="0040421D">
        <w:rPr>
          <w:rFonts w:cs="Arial"/>
          <w:b/>
          <w:bCs/>
          <w:sz w:val="24"/>
          <w:lang w:val="en-US" w:eastAsia="en-US"/>
        </w:rPr>
        <w:t>configuration related issues</w:t>
      </w:r>
      <w:r w:rsidR="00853330">
        <w:rPr>
          <w:rFonts w:cs="Arial"/>
          <w:b/>
          <w:bCs/>
          <w:sz w:val="24"/>
          <w:lang w:val="en-US" w:eastAsia="en-US"/>
        </w:rPr>
        <w:t xml:space="preserve"> for</w:t>
      </w:r>
      <w:r w:rsidR="00944034">
        <w:rPr>
          <w:rFonts w:cs="Arial"/>
          <w:b/>
          <w:bCs/>
          <w:sz w:val="24"/>
          <w:lang w:val="en-US" w:eastAsia="en-US"/>
        </w:rPr>
        <w:t xml:space="preserve"> LTM</w:t>
      </w:r>
    </w:p>
    <w:p w14:paraId="5C747348" w14:textId="74F3D881" w:rsidR="00E90E49" w:rsidRPr="00F31A51" w:rsidRDefault="00495DB1" w:rsidP="00143FC8">
      <w:pPr>
        <w:tabs>
          <w:tab w:val="left" w:pos="1979"/>
        </w:tabs>
        <w:spacing w:after="180" w:line="276" w:lineRule="auto"/>
        <w:rPr>
          <w:rFonts w:cs="Arial"/>
          <w:b/>
          <w:bCs/>
          <w:sz w:val="24"/>
          <w:lang w:val="en-US" w:eastAsia="en-US"/>
        </w:rPr>
      </w:pPr>
      <w:r w:rsidRPr="00F31A51">
        <w:rPr>
          <w:rFonts w:cs="Arial"/>
          <w:b/>
          <w:bCs/>
          <w:sz w:val="24"/>
          <w:lang w:val="en-US" w:eastAsia="en-US"/>
        </w:rPr>
        <w:t>Document for:</w:t>
      </w:r>
      <w:r w:rsidRPr="00F31A51">
        <w:rPr>
          <w:rFonts w:cs="Arial"/>
          <w:b/>
          <w:bCs/>
          <w:sz w:val="24"/>
          <w:lang w:val="en-US" w:eastAsia="en-US"/>
        </w:rPr>
        <w:tab/>
        <w:t>Discussion and Decision</w:t>
      </w:r>
    </w:p>
    <w:p w14:paraId="7A778345" w14:textId="5E417B35" w:rsidR="00E90E49" w:rsidRPr="00F31A51" w:rsidRDefault="00E90E49" w:rsidP="00944034">
      <w:pPr>
        <w:pStyle w:val="1"/>
        <w:pBdr>
          <w:top w:val="single" w:sz="12" w:space="4" w:color="auto"/>
        </w:pBdr>
        <w:spacing w:line="276" w:lineRule="auto"/>
      </w:pPr>
      <w:bookmarkStart w:id="0" w:name="_Ref488331639"/>
      <w:r w:rsidRPr="00F31A51">
        <w:t>Introductio</w:t>
      </w:r>
      <w:bookmarkEnd w:id="0"/>
      <w:r w:rsidR="00944034">
        <w:t>n</w:t>
      </w:r>
      <w:r w:rsidR="00BC27FE" w:rsidRPr="00F31A51">
        <w:t xml:space="preserve"> </w:t>
      </w:r>
    </w:p>
    <w:p w14:paraId="3E2DC216" w14:textId="77B71FDD" w:rsidR="0032213F" w:rsidRDefault="007477D5" w:rsidP="0074661B">
      <w:pPr>
        <w:pStyle w:val="ac"/>
        <w:spacing w:beforeLines="50" w:before="120"/>
        <w:rPr>
          <w:rFonts w:cs="Arial"/>
          <w:lang w:val="en-US"/>
        </w:rPr>
      </w:pPr>
      <w:bookmarkStart w:id="1" w:name="_Ref178064866"/>
      <w:r>
        <w:rPr>
          <w:rFonts w:cs="Arial"/>
          <w:lang w:val="en-US"/>
        </w:rPr>
        <w:t xml:space="preserve">In </w:t>
      </w:r>
      <w:r w:rsidR="006660A6">
        <w:rPr>
          <w:rFonts w:cs="Arial"/>
          <w:lang w:val="en-US"/>
        </w:rPr>
        <w:t>last RAN2</w:t>
      </w:r>
      <w:r w:rsidR="0032213F">
        <w:rPr>
          <w:rFonts w:cs="Arial"/>
          <w:lang w:val="en-US"/>
        </w:rPr>
        <w:t>#119bis-e, agreements related to RRC were made as follows:</w:t>
      </w:r>
    </w:p>
    <w:tbl>
      <w:tblPr>
        <w:tblStyle w:val="afa"/>
        <w:tblW w:w="0" w:type="auto"/>
        <w:tblLook w:val="04A0" w:firstRow="1" w:lastRow="0" w:firstColumn="1" w:lastColumn="0" w:noHBand="0" w:noVBand="1"/>
      </w:tblPr>
      <w:tblGrid>
        <w:gridCol w:w="9629"/>
      </w:tblGrid>
      <w:tr w:rsidR="0032213F" w14:paraId="6EA741AC" w14:textId="77777777" w:rsidTr="0032213F">
        <w:tc>
          <w:tcPr>
            <w:tcW w:w="9629" w:type="dxa"/>
          </w:tcPr>
          <w:p w14:paraId="4002F1B0" w14:textId="77777777" w:rsidR="0032213F" w:rsidRPr="00A2219A" w:rsidRDefault="0032213F" w:rsidP="00520609">
            <w:pPr>
              <w:pStyle w:val="Agreement"/>
              <w:ind w:left="567"/>
            </w:pPr>
            <w:r w:rsidRPr="00A2219A">
              <w:t xml:space="preserve">A L1/L2 inter-cell mobility </w:t>
            </w:r>
            <w:r>
              <w:t>candidate (</w:t>
            </w:r>
            <w:r w:rsidRPr="00A2219A">
              <w:t>target</w:t>
            </w:r>
            <w:r>
              <w:t>)</w:t>
            </w:r>
            <w:r w:rsidRPr="00A2219A">
              <w:t xml:space="preserve"> configuration is received within an RRC message before the </w:t>
            </w:r>
            <w:r>
              <w:t>L1/L2 dynamic switch</w:t>
            </w:r>
            <w:r w:rsidRPr="00A2219A">
              <w:t xml:space="preserve"> is triggered.</w:t>
            </w:r>
          </w:p>
          <w:p w14:paraId="4BFECD72" w14:textId="77777777" w:rsidR="0032213F" w:rsidRPr="00A2219A" w:rsidRDefault="0032213F" w:rsidP="00520609">
            <w:pPr>
              <w:pStyle w:val="Agreement"/>
              <w:ind w:left="567"/>
            </w:pPr>
            <w:r w:rsidRPr="00A2219A">
              <w:t>RAN2 continue</w:t>
            </w:r>
            <w:r>
              <w:t>s</w:t>
            </w:r>
            <w:r w:rsidRPr="00A2219A">
              <w:t xml:space="preserve"> the discussion on the RRC models by focusing on Model 1 and Model 2 and stage-3 details.</w:t>
            </w:r>
          </w:p>
          <w:p w14:paraId="091C6675" w14:textId="77777777" w:rsidR="0032213F" w:rsidRPr="00A2219A" w:rsidRDefault="0032213F" w:rsidP="00520609">
            <w:pPr>
              <w:pStyle w:val="Agreement"/>
              <w:numPr>
                <w:ilvl w:val="0"/>
                <w:numId w:val="0"/>
              </w:numPr>
              <w:ind w:left="567"/>
            </w:pPr>
            <w:r w:rsidRPr="00A2219A">
              <w:t>a.</w:t>
            </w:r>
            <w:r w:rsidRPr="00A2219A">
              <w:tab/>
              <w:t>Model 1: One RRCReconfiguration message (or FFS RRCReconfiguration IEs) for each candidate target configuration</w:t>
            </w:r>
          </w:p>
          <w:p w14:paraId="773A4354" w14:textId="58E86BE3" w:rsidR="0032213F" w:rsidRDefault="0032213F" w:rsidP="0032213F">
            <w:pPr>
              <w:pStyle w:val="Agreement"/>
              <w:numPr>
                <w:ilvl w:val="0"/>
                <w:numId w:val="0"/>
              </w:numPr>
              <w:ind w:left="567"/>
            </w:pPr>
            <w:r w:rsidRPr="00A2219A">
              <w:t>b.</w:t>
            </w:r>
            <w:r w:rsidRPr="00A2219A">
              <w:tab/>
              <w:t>Model 2: One CellGroupConfig IE (FFS additional IEs) for each candidate target configuration</w:t>
            </w:r>
          </w:p>
          <w:p w14:paraId="2E28E17F" w14:textId="77777777" w:rsidR="0032213F" w:rsidRPr="00520609" w:rsidRDefault="0032213F" w:rsidP="00520609">
            <w:pPr>
              <w:pStyle w:val="Agreement"/>
              <w:ind w:left="567"/>
            </w:pPr>
            <w:r w:rsidRPr="00520609">
              <w:t xml:space="preserve">RAN2 assumes that sequential L1L2 cell change between Candidates without RRC reconfiguration can be supported. </w:t>
            </w:r>
          </w:p>
          <w:p w14:paraId="715F8C04" w14:textId="77777777" w:rsidR="0032213F" w:rsidRPr="00520609" w:rsidRDefault="0032213F" w:rsidP="00520609">
            <w:pPr>
              <w:pStyle w:val="Agreement"/>
              <w:ind w:left="567"/>
            </w:pPr>
            <w:r w:rsidRPr="00520609">
              <w:t xml:space="preserve">RAN2 assumes that candidate cell configuration can only be modified / released by Network (FFS later whether some optimization should be applied e.g. for release). </w:t>
            </w:r>
          </w:p>
          <w:p w14:paraId="798B6F35" w14:textId="77777777" w:rsidR="0032213F" w:rsidRPr="00520609" w:rsidRDefault="0032213F" w:rsidP="00520609">
            <w:pPr>
              <w:pStyle w:val="Agreement"/>
              <w:ind w:left="567"/>
            </w:pPr>
            <w:r w:rsidRPr="00520609">
              <w:t xml:space="preserve">For L1L2 mobility will support that candidate configurations are delta configurations on top of a reference configuration. FFS if the reference configuration is a separate reference configuration or e.g. the current configuration. </w:t>
            </w:r>
          </w:p>
          <w:p w14:paraId="3C88FEE4" w14:textId="669FF26B" w:rsidR="0032213F" w:rsidRPr="00655D06" w:rsidRDefault="0032213F" w:rsidP="00520609">
            <w:pPr>
              <w:pStyle w:val="Agreement"/>
              <w:ind w:left="567"/>
            </w:pPr>
            <w:r>
              <w:t xml:space="preserve">For L1L2 mobility, </w:t>
            </w:r>
            <w:r w:rsidRPr="00520609">
              <w:t>Target Pcell/SCell can be current SCell/PCell, i.e., current SCell/PCell can be configured as candidates.</w:t>
            </w:r>
          </w:p>
        </w:tc>
      </w:tr>
    </w:tbl>
    <w:p w14:paraId="68E2A211" w14:textId="4B710C2D" w:rsidR="007477D5" w:rsidRDefault="001210C0" w:rsidP="0074661B">
      <w:pPr>
        <w:pStyle w:val="ac"/>
        <w:spacing w:beforeLines="50" w:before="120"/>
        <w:rPr>
          <w:rFonts w:cs="Arial"/>
          <w:lang w:val="en-US"/>
        </w:rPr>
      </w:pPr>
      <w:r>
        <w:rPr>
          <w:rFonts w:cs="Arial"/>
          <w:lang w:val="en-US"/>
        </w:rPr>
        <w:t xml:space="preserve">In this contribution, </w:t>
      </w:r>
      <w:r w:rsidR="00B0248E">
        <w:rPr>
          <w:rFonts w:cs="Arial"/>
          <w:lang w:val="en-US"/>
        </w:rPr>
        <w:t xml:space="preserve">we would like to further discuss </w:t>
      </w:r>
      <w:r w:rsidR="001D5F4E">
        <w:rPr>
          <w:rFonts w:cs="Arial"/>
          <w:lang w:val="en-US"/>
        </w:rPr>
        <w:t>RRC related issues.</w:t>
      </w:r>
    </w:p>
    <w:p w14:paraId="51F72683" w14:textId="5902F959" w:rsidR="005026FB" w:rsidRPr="00F31A51" w:rsidRDefault="004000E8" w:rsidP="005026FB">
      <w:pPr>
        <w:pStyle w:val="1"/>
        <w:spacing w:line="276" w:lineRule="auto"/>
        <w:jc w:val="both"/>
      </w:pPr>
      <w:r w:rsidRPr="00F31A51">
        <w:t>Discussion</w:t>
      </w:r>
      <w:bookmarkEnd w:id="1"/>
    </w:p>
    <w:p w14:paraId="03CD3F21" w14:textId="3C2FE2A8" w:rsidR="00960848" w:rsidRDefault="005476EA" w:rsidP="002D2453">
      <w:pPr>
        <w:pStyle w:val="2"/>
      </w:pPr>
      <w:r>
        <w:t>RRC model for candidate cell configuration</w:t>
      </w:r>
    </w:p>
    <w:p w14:paraId="45B22CEB" w14:textId="24BA89D2" w:rsidR="00372327" w:rsidRDefault="00372327" w:rsidP="00CF6AAF">
      <w:pPr>
        <w:pStyle w:val="ac"/>
        <w:spacing w:beforeLines="50" w:before="120"/>
        <w:rPr>
          <w:rFonts w:cs="Arial"/>
        </w:rPr>
      </w:pPr>
      <w:r>
        <w:rPr>
          <w:rFonts w:cs="Arial"/>
        </w:rPr>
        <w:t xml:space="preserve">According to </w:t>
      </w:r>
      <w:r w:rsidR="00CE7603">
        <w:rPr>
          <w:rFonts w:cs="Arial"/>
        </w:rPr>
        <w:t xml:space="preserve">the </w:t>
      </w:r>
      <w:r>
        <w:rPr>
          <w:rFonts w:cs="Arial"/>
        </w:rPr>
        <w:t>agreement</w:t>
      </w:r>
      <w:r w:rsidR="00D25268">
        <w:rPr>
          <w:rFonts w:cs="Arial"/>
        </w:rPr>
        <w:t>s</w:t>
      </w:r>
      <w:r>
        <w:rPr>
          <w:rFonts w:cs="Arial"/>
        </w:rPr>
        <w:t>,</w:t>
      </w:r>
      <w:r w:rsidR="00B868D9">
        <w:rPr>
          <w:rFonts w:cs="Arial"/>
        </w:rPr>
        <w:t xml:space="preserve"> further</w:t>
      </w:r>
      <w:r>
        <w:rPr>
          <w:rFonts w:cs="Arial"/>
        </w:rPr>
        <w:t xml:space="preserve"> </w:t>
      </w:r>
      <w:r w:rsidR="00CE7603">
        <w:rPr>
          <w:rFonts w:cs="Arial"/>
        </w:rPr>
        <w:t>discussion</w:t>
      </w:r>
      <w:r w:rsidR="00B868D9">
        <w:rPr>
          <w:rFonts w:cs="Arial"/>
        </w:rPr>
        <w:t xml:space="preserve"> is needed</w:t>
      </w:r>
      <w:r w:rsidR="00CE7603">
        <w:rPr>
          <w:rFonts w:cs="Arial"/>
        </w:rPr>
        <w:t xml:space="preserve"> </w:t>
      </w:r>
      <w:r>
        <w:rPr>
          <w:rFonts w:cs="Arial"/>
        </w:rPr>
        <w:t>on which RRC model is used to configure LTM candidate</w:t>
      </w:r>
      <w:r w:rsidR="00CE7603">
        <w:rPr>
          <w:rFonts w:cs="Arial"/>
        </w:rPr>
        <w:t>s</w:t>
      </w:r>
      <w:r w:rsidR="00B868D9">
        <w:rPr>
          <w:rFonts w:cs="Arial"/>
        </w:rPr>
        <w:t xml:space="preserve"> between Model 1 and Model</w:t>
      </w:r>
      <w:r w:rsidR="004C4612">
        <w:rPr>
          <w:rFonts w:cs="Arial"/>
        </w:rPr>
        <w:t xml:space="preserve"> </w:t>
      </w:r>
      <w:r w:rsidR="00B868D9">
        <w:rPr>
          <w:rFonts w:cs="Arial"/>
        </w:rPr>
        <w:t>2.</w:t>
      </w:r>
    </w:p>
    <w:p w14:paraId="7141F1DD" w14:textId="77777777" w:rsidR="008A0C1C" w:rsidRPr="00A2219A" w:rsidRDefault="008A0C1C" w:rsidP="00655D06">
      <w:pPr>
        <w:pStyle w:val="Agreement"/>
      </w:pPr>
      <w:r w:rsidRPr="00A2219A">
        <w:t>RAN2 continue</w:t>
      </w:r>
      <w:r>
        <w:t>s</w:t>
      </w:r>
      <w:r w:rsidRPr="00A2219A">
        <w:t xml:space="preserve"> the discussion on the RRC models by focusing on Model 1 and Model 2 and stage-3 details.</w:t>
      </w:r>
    </w:p>
    <w:p w14:paraId="09E89982" w14:textId="77777777" w:rsidR="008A0C1C" w:rsidRPr="00A2219A" w:rsidRDefault="008A0C1C" w:rsidP="008A0C1C">
      <w:pPr>
        <w:pStyle w:val="Agreement"/>
        <w:numPr>
          <w:ilvl w:val="0"/>
          <w:numId w:val="0"/>
        </w:numPr>
        <w:ind w:left="1619"/>
      </w:pPr>
      <w:r w:rsidRPr="00A2219A">
        <w:t>a.</w:t>
      </w:r>
      <w:r w:rsidRPr="00A2219A">
        <w:tab/>
        <w:t>Model 1: One RRCReconfiguration message (or FFS RRCReconfiguration IEs) for each candidate target configuration</w:t>
      </w:r>
    </w:p>
    <w:p w14:paraId="0E5F27F9" w14:textId="2C378095" w:rsidR="00804B50" w:rsidRPr="00655D06" w:rsidRDefault="008A0C1C" w:rsidP="00520609">
      <w:pPr>
        <w:pStyle w:val="Agreement"/>
        <w:numPr>
          <w:ilvl w:val="0"/>
          <w:numId w:val="0"/>
        </w:numPr>
        <w:ind w:left="1619"/>
      </w:pPr>
      <w:r w:rsidRPr="00A2219A">
        <w:t>b.</w:t>
      </w:r>
      <w:r w:rsidRPr="00A2219A">
        <w:tab/>
        <w:t>Model 2: One CellGroupConfig IE (FFS additional IEs) for each candidate target configuration</w:t>
      </w:r>
    </w:p>
    <w:p w14:paraId="53EE3DD5" w14:textId="77777777" w:rsidR="00571B6C" w:rsidRDefault="00571B6C" w:rsidP="00655D06">
      <w:pPr>
        <w:pStyle w:val="ac"/>
        <w:spacing w:beforeLines="50" w:before="120"/>
        <w:rPr>
          <w:rFonts w:cs="Arial"/>
        </w:rPr>
      </w:pPr>
    </w:p>
    <w:p w14:paraId="4718EA98" w14:textId="08E51A11" w:rsidR="00571B6C" w:rsidRDefault="008E28DC" w:rsidP="00655D06">
      <w:pPr>
        <w:pStyle w:val="ac"/>
        <w:spacing w:beforeLines="50" w:before="120"/>
        <w:rPr>
          <w:rFonts w:cs="Arial"/>
        </w:rPr>
      </w:pPr>
      <w:r>
        <w:rPr>
          <w:rFonts w:cs="Arial"/>
        </w:rPr>
        <w:t>T</w:t>
      </w:r>
      <w:r w:rsidR="004C4612">
        <w:rPr>
          <w:rFonts w:cs="Arial"/>
        </w:rPr>
        <w:t>he pros and cons of</w:t>
      </w:r>
      <w:r w:rsidR="00C845F3">
        <w:rPr>
          <w:rFonts w:cs="Arial"/>
        </w:rPr>
        <w:t xml:space="preserve"> the two models</w:t>
      </w:r>
      <w:r w:rsidR="004C4612">
        <w:rPr>
          <w:rFonts w:cs="Arial"/>
        </w:rPr>
        <w:t xml:space="preserve"> are summarised</w:t>
      </w:r>
      <w:r>
        <w:rPr>
          <w:rFonts w:cs="Arial"/>
        </w:rPr>
        <w:t xml:space="preserve"> in [2] </w:t>
      </w:r>
      <w:r w:rsidR="00571B6C">
        <w:rPr>
          <w:rFonts w:cs="Arial"/>
        </w:rPr>
        <w:t>based on inputs from companies.</w:t>
      </w:r>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105"/>
      </w:tblGrid>
      <w:tr w:rsidR="00571B6C" w14:paraId="33922B19" w14:textId="77777777" w:rsidTr="00741E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il"/>
              <w:left w:val="nil"/>
              <w:bottom w:val="nil"/>
            </w:tcBorders>
          </w:tcPr>
          <w:p w14:paraId="31753451" w14:textId="77777777" w:rsidR="00571B6C" w:rsidRDefault="00571B6C" w:rsidP="00741EEF">
            <w:pPr>
              <w:pStyle w:val="ac"/>
              <w:rPr>
                <w:b w:val="0"/>
                <w:bCs w:val="0"/>
              </w:rPr>
            </w:pPr>
            <w:r>
              <w:lastRenderedPageBreak/>
              <w:t>Model</w:t>
            </w:r>
          </w:p>
        </w:tc>
        <w:tc>
          <w:tcPr>
            <w:tcW w:w="3261" w:type="dxa"/>
            <w:tcBorders>
              <w:top w:val="nil"/>
              <w:bottom w:val="nil"/>
            </w:tcBorders>
          </w:tcPr>
          <w:p w14:paraId="7864D3C6" w14:textId="77777777" w:rsidR="00571B6C" w:rsidRDefault="00571B6C" w:rsidP="00741EEF">
            <w:pPr>
              <w:pStyle w:val="ac"/>
              <w:cnfStyle w:val="100000000000" w:firstRow="1" w:lastRow="0" w:firstColumn="0" w:lastColumn="0" w:oddVBand="0" w:evenVBand="0" w:oddHBand="0" w:evenHBand="0" w:firstRowFirstColumn="0" w:firstRowLastColumn="0" w:lastRowFirstColumn="0" w:lastRowLastColumn="0"/>
              <w:rPr>
                <w:b w:val="0"/>
                <w:bCs w:val="0"/>
              </w:rPr>
            </w:pPr>
            <w:r>
              <w:t>Pros</w:t>
            </w:r>
          </w:p>
        </w:tc>
        <w:tc>
          <w:tcPr>
            <w:tcW w:w="4105" w:type="dxa"/>
            <w:tcBorders>
              <w:top w:val="nil"/>
              <w:bottom w:val="nil"/>
              <w:right w:val="nil"/>
            </w:tcBorders>
          </w:tcPr>
          <w:p w14:paraId="4F1D56A7" w14:textId="77777777" w:rsidR="00571B6C" w:rsidRDefault="00571B6C" w:rsidP="00741EEF">
            <w:pPr>
              <w:pStyle w:val="ac"/>
              <w:cnfStyle w:val="100000000000" w:firstRow="1" w:lastRow="0" w:firstColumn="0" w:lastColumn="0" w:oddVBand="0" w:evenVBand="0" w:oddHBand="0" w:evenHBand="0" w:firstRowFirstColumn="0" w:firstRowLastColumn="0" w:lastRowFirstColumn="0" w:lastRowLastColumn="0"/>
              <w:rPr>
                <w:b w:val="0"/>
                <w:bCs w:val="0"/>
              </w:rPr>
            </w:pPr>
            <w:r>
              <w:t>Cons</w:t>
            </w:r>
          </w:p>
        </w:tc>
      </w:tr>
      <w:tr w:rsidR="00571B6C" w14:paraId="44DEB982" w14:textId="77777777" w:rsidTr="00741EEF">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098C1D2D" w14:textId="77777777" w:rsidR="00571B6C" w:rsidRDefault="00571B6C" w:rsidP="00741EEF">
            <w:pPr>
              <w:pStyle w:val="ac"/>
              <w:rPr>
                <w:b w:val="0"/>
                <w:bCs w:val="0"/>
                <w:lang w:eastAsia="zh-TW"/>
              </w:rPr>
            </w:pPr>
            <w:r>
              <w:rPr>
                <w:lang w:eastAsia="zh-TW"/>
              </w:rPr>
              <w:t>Model 1</w:t>
            </w:r>
          </w:p>
          <w:p w14:paraId="5F47F893" w14:textId="77777777" w:rsidR="00571B6C" w:rsidRDefault="00571B6C" w:rsidP="00741EEF">
            <w:pPr>
              <w:pStyle w:val="ac"/>
              <w:rPr>
                <w:b w:val="0"/>
                <w:bCs w:val="0"/>
              </w:rPr>
            </w:pPr>
            <w:r w:rsidRPr="00240F2C">
              <w:rPr>
                <w:sz w:val="16"/>
                <w:szCs w:val="16"/>
                <w:lang w:eastAsia="zh-TW"/>
              </w:rPr>
              <w:t>(One RRCReconfiguration message (</w:t>
            </w:r>
            <w:r w:rsidRPr="00240F2C">
              <w:rPr>
                <w:i/>
                <w:iCs/>
                <w:sz w:val="16"/>
                <w:szCs w:val="16"/>
                <w:lang w:eastAsia="zh-TW"/>
              </w:rPr>
              <w:t>or FFS RRCReconfiguration IEs</w:t>
            </w:r>
            <w:r w:rsidRPr="00240F2C">
              <w:rPr>
                <w:sz w:val="16"/>
                <w:szCs w:val="16"/>
                <w:lang w:eastAsia="zh-TW"/>
              </w:rPr>
              <w:t>) for each candidate target configuration)</w:t>
            </w:r>
          </w:p>
        </w:tc>
        <w:tc>
          <w:tcPr>
            <w:tcW w:w="3261" w:type="dxa"/>
            <w:shd w:val="clear" w:color="auto" w:fill="auto"/>
          </w:tcPr>
          <w:p w14:paraId="67180634"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Full flexibility</w:t>
            </w:r>
          </w:p>
          <w:p w14:paraId="1FB2DAD3"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Support of all targeted scenarios</w:t>
            </w:r>
          </w:p>
          <w:p w14:paraId="2B8193A4"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Similarities with the existing CHO framework</w:t>
            </w:r>
          </w:p>
          <w:p w14:paraId="2509BCE4" w14:textId="77777777" w:rsidR="00571B6C" w:rsidRDefault="00571B6C" w:rsidP="00741EEF">
            <w:pPr>
              <w:pStyle w:val="ac"/>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01A04728"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 xml:space="preserve">Since only intra-CU scenario is considered, there may be no need to provide all configurations and field within the </w:t>
            </w:r>
            <w:r w:rsidRPr="00F15BA0">
              <w:rPr>
                <w:i/>
                <w:iCs/>
              </w:rPr>
              <w:t>RRCReconfiguration</w:t>
            </w:r>
            <w:r>
              <w:t xml:space="preserve"> message.</w:t>
            </w:r>
          </w:p>
          <w:p w14:paraId="7CD67237"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Existing RRC procedures may heavily impacted (specification efforts may not be minimal).</w:t>
            </w:r>
          </w:p>
          <w:p w14:paraId="49E89A06"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Delta signalling may be needed (and needs to be discussed how to achieve it).</w:t>
            </w:r>
          </w:p>
          <w:p w14:paraId="7B69A8B9"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Potentially longer latency due to the execution of some RRC procedures (e.g., radio bearers, security, L1/L2 processing).</w:t>
            </w:r>
          </w:p>
          <w:p w14:paraId="1F7ACB87" w14:textId="77777777" w:rsidR="00571B6C" w:rsidRDefault="00571B6C" w:rsidP="00741EEF">
            <w:pPr>
              <w:pStyle w:val="ac"/>
              <w:jc w:val="left"/>
              <w:cnfStyle w:val="000000000000" w:firstRow="0" w:lastRow="0" w:firstColumn="0" w:lastColumn="0" w:oddVBand="0" w:evenVBand="0" w:oddHBand="0" w:evenHBand="0" w:firstRowFirstColumn="0" w:firstRowLastColumn="0" w:lastRowFirstColumn="0" w:lastRowLastColumn="0"/>
            </w:pPr>
          </w:p>
        </w:tc>
      </w:tr>
      <w:tr w:rsidR="00571B6C" w14:paraId="78B4AA91" w14:textId="77777777" w:rsidTr="00741EEF">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2F7F844C" w14:textId="77777777" w:rsidR="00571B6C" w:rsidRDefault="00571B6C" w:rsidP="00741EEF">
            <w:pPr>
              <w:pStyle w:val="ac"/>
              <w:rPr>
                <w:b w:val="0"/>
                <w:bCs w:val="0"/>
                <w:lang w:eastAsia="zh-TW"/>
              </w:rPr>
            </w:pPr>
            <w:r>
              <w:rPr>
                <w:lang w:eastAsia="zh-TW"/>
              </w:rPr>
              <w:t>Model 2</w:t>
            </w:r>
          </w:p>
          <w:p w14:paraId="4A0329CE" w14:textId="77777777" w:rsidR="00571B6C" w:rsidRDefault="00571B6C" w:rsidP="00741EEF">
            <w:pPr>
              <w:pStyle w:val="ac"/>
              <w:rPr>
                <w:b w:val="0"/>
                <w:bCs w:val="0"/>
              </w:rPr>
            </w:pPr>
            <w:r w:rsidRPr="00240F2C">
              <w:rPr>
                <w:sz w:val="16"/>
                <w:szCs w:val="16"/>
                <w:lang w:eastAsia="zh-TW"/>
              </w:rPr>
              <w:t>(One CellGroupConfig IE (</w:t>
            </w:r>
            <w:r w:rsidRPr="00240F2C">
              <w:rPr>
                <w:i/>
                <w:iCs/>
                <w:sz w:val="16"/>
                <w:szCs w:val="16"/>
                <w:lang w:eastAsia="zh-TW"/>
              </w:rPr>
              <w:t>FFS additional IEs</w:t>
            </w:r>
            <w:r w:rsidRPr="00240F2C">
              <w:rPr>
                <w:sz w:val="16"/>
                <w:szCs w:val="16"/>
                <w:lang w:eastAsia="zh-TW"/>
              </w:rPr>
              <w:t>) for each candidate target configuration)</w:t>
            </w:r>
          </w:p>
        </w:tc>
        <w:tc>
          <w:tcPr>
            <w:tcW w:w="3261" w:type="dxa"/>
            <w:shd w:val="clear" w:color="auto" w:fill="auto"/>
          </w:tcPr>
          <w:p w14:paraId="7667A7A3"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Support for all targeted scenarios</w:t>
            </w:r>
          </w:p>
          <w:p w14:paraId="01971653"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Smaller signalling overhead compared to e.g., model 1.</w:t>
            </w:r>
          </w:p>
          <w:p w14:paraId="1C40163E"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Potentially reduced interruption time due to less time spent by the UE to execute non-necessary RRC procedures.</w:t>
            </w:r>
          </w:p>
          <w:p w14:paraId="61A202D1" w14:textId="77777777" w:rsidR="00571B6C" w:rsidRDefault="00571B6C" w:rsidP="00741EEF">
            <w:pPr>
              <w:pStyle w:val="ac"/>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1F52FD68"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How to perform L2 reset needs to be clarified</w:t>
            </w:r>
          </w:p>
          <w:p w14:paraId="4DD0491C"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A new procedure for L1/L2 mobility may be needed (but some companies do not consider this necessarily a con).</w:t>
            </w:r>
          </w:p>
          <w:p w14:paraId="4A919834"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One CellGroupConfig for each L1/L2 mobility target configuration</w:t>
            </w:r>
          </w:p>
          <w:p w14:paraId="4E88E559"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Configuration outside the CellGroupConfig may require a subsequent RRCReconfiguration message after the switch has happened.</w:t>
            </w:r>
          </w:p>
          <w:p w14:paraId="74D354BB" w14:textId="77777777" w:rsidR="00571B6C" w:rsidRDefault="00571B6C" w:rsidP="00571B6C">
            <w:pPr>
              <w:pStyle w:val="ac"/>
              <w:numPr>
                <w:ilvl w:val="0"/>
                <w:numId w:val="40"/>
              </w:numPr>
              <w:ind w:left="171" w:hanging="171"/>
              <w:cnfStyle w:val="000000000000" w:firstRow="0" w:lastRow="0" w:firstColumn="0" w:lastColumn="0" w:oddVBand="0" w:evenVBand="0" w:oddHBand="0" w:evenHBand="0" w:firstRowFirstColumn="0" w:firstRowLastColumn="0" w:lastRowFirstColumn="0" w:lastRowLastColumn="0"/>
            </w:pPr>
            <w:r>
              <w:t>Delta signalling may be needed (and needs to be discussed how to achieve it).</w:t>
            </w:r>
          </w:p>
          <w:p w14:paraId="6A667C1F" w14:textId="77777777" w:rsidR="00571B6C" w:rsidRDefault="00571B6C" w:rsidP="00741EEF">
            <w:pPr>
              <w:pStyle w:val="ac"/>
              <w:jc w:val="left"/>
              <w:cnfStyle w:val="000000000000" w:firstRow="0" w:lastRow="0" w:firstColumn="0" w:lastColumn="0" w:oddVBand="0" w:evenVBand="0" w:oddHBand="0" w:evenHBand="0" w:firstRowFirstColumn="0" w:firstRowLastColumn="0" w:lastRowFirstColumn="0" w:lastRowLastColumn="0"/>
            </w:pPr>
          </w:p>
        </w:tc>
      </w:tr>
    </w:tbl>
    <w:p w14:paraId="73BD9EEA" w14:textId="7DDB060C" w:rsidR="0033046B" w:rsidRDefault="002D13CE" w:rsidP="00655D06">
      <w:pPr>
        <w:pStyle w:val="ac"/>
        <w:spacing w:beforeLines="50" w:before="120"/>
        <w:rPr>
          <w:rFonts w:cs="Arial"/>
        </w:rPr>
      </w:pPr>
      <w:r>
        <w:rPr>
          <w:rFonts w:cs="Arial" w:hint="eastAsia"/>
        </w:rPr>
        <w:t>A</w:t>
      </w:r>
      <w:r>
        <w:rPr>
          <w:rFonts w:cs="Arial"/>
        </w:rPr>
        <w:t xml:space="preserve">s can be observed from </w:t>
      </w:r>
      <w:r w:rsidR="008135CC">
        <w:rPr>
          <w:rFonts w:cs="Arial"/>
        </w:rPr>
        <w:t xml:space="preserve">the </w:t>
      </w:r>
      <w:r>
        <w:rPr>
          <w:rFonts w:cs="Arial"/>
        </w:rPr>
        <w:t xml:space="preserve">table, </w:t>
      </w:r>
      <w:r w:rsidR="0033046B">
        <w:rPr>
          <w:rFonts w:cs="Arial"/>
        </w:rPr>
        <w:t>both Model1 and Model2 work for all targeted scenarios specified in WID. Model1 has advantage on reusing legacy CHO framework and Model</w:t>
      </w:r>
      <w:r w:rsidR="00950BDF">
        <w:rPr>
          <w:rFonts w:cs="Arial"/>
        </w:rPr>
        <w:t>2</w:t>
      </w:r>
      <w:r w:rsidR="0033046B">
        <w:rPr>
          <w:rFonts w:cs="Arial"/>
        </w:rPr>
        <w:t xml:space="preserve"> is</w:t>
      </w:r>
      <w:r w:rsidR="00950BDF">
        <w:rPr>
          <w:rFonts w:cs="Arial"/>
        </w:rPr>
        <w:t xml:space="preserve"> </w:t>
      </w:r>
      <w:r w:rsidR="00A02FEB">
        <w:rPr>
          <w:rFonts w:cs="Arial"/>
        </w:rPr>
        <w:t>beneficial for reduction of signalling overhead and latency.</w:t>
      </w:r>
      <w:r w:rsidR="000936DF">
        <w:rPr>
          <w:rFonts w:cs="Arial"/>
        </w:rPr>
        <w:t xml:space="preserve"> It seems difficult to make selection by comparing the pons of the models, hence we would like to further analyse the cons</w:t>
      </w:r>
      <w:r w:rsidR="00F9600C">
        <w:rPr>
          <w:rFonts w:cs="Arial"/>
        </w:rPr>
        <w:t xml:space="preserve"> part</w:t>
      </w:r>
      <w:r w:rsidR="000936DF">
        <w:rPr>
          <w:rFonts w:cs="Arial"/>
        </w:rPr>
        <w:t xml:space="preserve"> to</w:t>
      </w:r>
      <w:r w:rsidR="00F9600C">
        <w:rPr>
          <w:rFonts w:cs="Arial"/>
        </w:rPr>
        <w:t xml:space="preserve"> evaluate how much works are needed to address the disadvantages for each model.</w:t>
      </w:r>
    </w:p>
    <w:p w14:paraId="523F7489" w14:textId="49B74AD5" w:rsidR="002D13CE" w:rsidRDefault="00624A46" w:rsidP="00655D06">
      <w:pPr>
        <w:pStyle w:val="ac"/>
        <w:spacing w:beforeLines="50" w:before="120"/>
      </w:pPr>
      <w:r>
        <w:rPr>
          <w:rFonts w:cs="Arial"/>
        </w:rPr>
        <w:t>For Model1, t</w:t>
      </w:r>
      <w:r w:rsidR="002D13CE">
        <w:rPr>
          <w:rFonts w:cs="Arial"/>
        </w:rPr>
        <w:t xml:space="preserve">he most significant </w:t>
      </w:r>
      <w:r w:rsidR="008135CC">
        <w:rPr>
          <w:rFonts w:cs="Arial"/>
        </w:rPr>
        <w:t>cons</w:t>
      </w:r>
      <w:r w:rsidR="000F4D51">
        <w:rPr>
          <w:rFonts w:cs="Arial"/>
        </w:rPr>
        <w:t xml:space="preserve"> </w:t>
      </w:r>
      <w:r w:rsidR="008135CC">
        <w:rPr>
          <w:rFonts w:cs="Arial"/>
        </w:rPr>
        <w:t>lie in signalling overhead and processing latency. For intra-CU LTM,</w:t>
      </w:r>
      <w:r w:rsidR="00510716">
        <w:rPr>
          <w:rFonts w:cs="Arial"/>
        </w:rPr>
        <w:t xml:space="preserve"> CU-related configurations such as </w:t>
      </w:r>
      <w:r w:rsidR="00510716">
        <w:t xml:space="preserve">radioBearerConfig, masterKeyUpdate are not needed. </w:t>
      </w:r>
      <w:r w:rsidR="002952FE">
        <w:t>Delta configuration can be considered</w:t>
      </w:r>
      <w:r w:rsidR="00E81FA1">
        <w:t xml:space="preserve"> to overcome the shortcoming of Model1, </w:t>
      </w:r>
      <w:r w:rsidR="002952FE">
        <w:t>but this</w:t>
      </w:r>
      <w:r w:rsidR="00E81FA1">
        <w:t xml:space="preserve"> may introduce additional complexity to study what parameters in RRCReconfiguration message can be omitted for LTM candidate configuration.</w:t>
      </w:r>
      <w:r w:rsidR="0034280F">
        <w:t xml:space="preserve"> To capture these restrictions,</w:t>
      </w:r>
      <w:r w:rsidR="00E81FA1">
        <w:t xml:space="preserve"> </w:t>
      </w:r>
      <w:r w:rsidR="00C3798A">
        <w:t>l</w:t>
      </w:r>
      <w:r w:rsidR="00E81FA1">
        <w:t>ots of specification changes are</w:t>
      </w:r>
      <w:r w:rsidR="0034280F">
        <w:t xml:space="preserve"> </w:t>
      </w:r>
      <w:r w:rsidR="006808EE">
        <w:t xml:space="preserve">also </w:t>
      </w:r>
      <w:r w:rsidR="0034280F">
        <w:t>needed</w:t>
      </w:r>
      <w:r w:rsidR="00E81FA1">
        <w:t>.</w:t>
      </w:r>
    </w:p>
    <w:p w14:paraId="0E84BF0F" w14:textId="0A4D6E1A" w:rsidR="00E60539" w:rsidRDefault="00E81FA1" w:rsidP="00DA0039">
      <w:pPr>
        <w:pStyle w:val="ac"/>
        <w:spacing w:beforeLines="50" w:before="120"/>
        <w:rPr>
          <w:rFonts w:cs="Arial"/>
        </w:rPr>
      </w:pPr>
      <w:r>
        <w:rPr>
          <w:rFonts w:cs="Arial" w:hint="eastAsia"/>
        </w:rPr>
        <w:t>F</w:t>
      </w:r>
      <w:r>
        <w:rPr>
          <w:rFonts w:cs="Arial"/>
        </w:rPr>
        <w:t>or Model 2,</w:t>
      </w:r>
      <w:r w:rsidR="0034280F">
        <w:rPr>
          <w:rFonts w:cs="Arial"/>
        </w:rPr>
        <w:t xml:space="preserve"> the</w:t>
      </w:r>
      <w:r w:rsidR="007F4730">
        <w:rPr>
          <w:rFonts w:cs="Arial"/>
        </w:rPr>
        <w:t xml:space="preserve"> </w:t>
      </w:r>
      <w:r w:rsidR="002B328B">
        <w:rPr>
          <w:rFonts w:cs="Arial"/>
        </w:rPr>
        <w:t>cons</w:t>
      </w:r>
      <w:r w:rsidR="0034280F">
        <w:rPr>
          <w:rFonts w:cs="Arial"/>
        </w:rPr>
        <w:t xml:space="preserve"> </w:t>
      </w:r>
      <w:r w:rsidR="003225A8">
        <w:rPr>
          <w:rFonts w:cs="Arial"/>
        </w:rPr>
        <w:t xml:space="preserve">mainly </w:t>
      </w:r>
      <w:r w:rsidR="0034280F">
        <w:rPr>
          <w:rFonts w:cs="Arial"/>
        </w:rPr>
        <w:t>regard to how to provide UE with the information</w:t>
      </w:r>
      <w:r w:rsidR="00575D08">
        <w:rPr>
          <w:rFonts w:cs="Arial"/>
        </w:rPr>
        <w:t xml:space="preserve"> outside </w:t>
      </w:r>
      <w:r w:rsidR="0034280F">
        <w:rPr>
          <w:rFonts w:cs="Arial"/>
        </w:rPr>
        <w:t>CellGroupC</w:t>
      </w:r>
      <w:r w:rsidR="00575D08">
        <w:rPr>
          <w:rFonts w:cs="Arial"/>
        </w:rPr>
        <w:t>onfig IE, e.g., L2 reset indication such as</w:t>
      </w:r>
      <w:r w:rsidR="00113FAC">
        <w:rPr>
          <w:rFonts w:cs="Arial"/>
        </w:rPr>
        <w:t xml:space="preserve"> recoverPDCP</w:t>
      </w:r>
      <w:r w:rsidR="00575D08">
        <w:rPr>
          <w:rFonts w:cs="Arial"/>
        </w:rPr>
        <w:t>, measConfig</w:t>
      </w:r>
      <w:r w:rsidR="00113FAC">
        <w:rPr>
          <w:rFonts w:cs="Arial"/>
        </w:rPr>
        <w:t xml:space="preserve"> etc.</w:t>
      </w:r>
      <w:r w:rsidR="003631A7">
        <w:rPr>
          <w:rFonts w:cs="Arial"/>
        </w:rPr>
        <w:t xml:space="preserve"> </w:t>
      </w:r>
      <w:r w:rsidR="00C964D9">
        <w:rPr>
          <w:rFonts w:cs="Arial"/>
        </w:rPr>
        <w:t xml:space="preserve">For L2 reset indication, </w:t>
      </w:r>
      <w:r w:rsidR="00432513">
        <w:rPr>
          <w:rFonts w:cs="Arial"/>
        </w:rPr>
        <w:t xml:space="preserve">it was agreed in last meeting that RAN2 assumes whether UE performs partial/full MAC reset, RLC re-establishment and PDCP data recovery is explicitly controlled by NW and RRC can used for indication. </w:t>
      </w:r>
      <w:r w:rsidR="00CE7BD9">
        <w:rPr>
          <w:rFonts w:cs="Arial"/>
        </w:rPr>
        <w:t>If L2 reset indication is to be included in candidate configuration, it is also possible to use CellGroupConfig IE by extending one bit for indication.</w:t>
      </w:r>
      <w:r w:rsidR="00CE7BD9">
        <w:rPr>
          <w:rFonts w:cs="Arial" w:hint="eastAsia"/>
        </w:rPr>
        <w:t xml:space="preserve"> </w:t>
      </w:r>
      <w:r w:rsidR="005E55FB">
        <w:rPr>
          <w:rFonts w:cs="Arial"/>
        </w:rPr>
        <w:t>While</w:t>
      </w:r>
      <w:r w:rsidR="00F53C54">
        <w:rPr>
          <w:rFonts w:cs="Arial"/>
        </w:rPr>
        <w:t xml:space="preserve"> the relationship (i.e., inter or intra DU) between source cell and candidate cell would be changed due to the support of subsequent LTM</w:t>
      </w:r>
      <w:r w:rsidR="005E55FB">
        <w:rPr>
          <w:rFonts w:cs="Arial"/>
        </w:rPr>
        <w:t>,</w:t>
      </w:r>
      <w:r w:rsidR="00CE7BD9">
        <w:rPr>
          <w:rFonts w:cs="Arial"/>
        </w:rPr>
        <w:t xml:space="preserve"> cell switch MAC CE might be more suitable to provide L2 reset indication</w:t>
      </w:r>
      <w:r w:rsidR="00B368D6">
        <w:rPr>
          <w:rFonts w:cs="Arial"/>
        </w:rPr>
        <w:t xml:space="preserve">. </w:t>
      </w:r>
      <w:r w:rsidR="00A535DE">
        <w:rPr>
          <w:rFonts w:cs="Arial"/>
        </w:rPr>
        <w:t>Further details can be found in</w:t>
      </w:r>
      <w:r w:rsidR="00CE7BD9">
        <w:rPr>
          <w:rFonts w:cs="Arial"/>
        </w:rPr>
        <w:t xml:space="preserve"> our accompanying contribution</w:t>
      </w:r>
      <w:r w:rsidR="00A535DE">
        <w:rPr>
          <w:rFonts w:cs="Arial"/>
        </w:rPr>
        <w:t xml:space="preserve"> [</w:t>
      </w:r>
      <w:r w:rsidR="00F2476A">
        <w:rPr>
          <w:rFonts w:cs="Arial" w:hint="eastAsia"/>
        </w:rPr>
        <w:t>3</w:t>
      </w:r>
      <w:r w:rsidR="00A535DE">
        <w:rPr>
          <w:rFonts w:cs="Arial"/>
        </w:rPr>
        <w:t>].</w:t>
      </w:r>
      <w:r w:rsidR="0033046B">
        <w:rPr>
          <w:rFonts w:cs="Arial" w:hint="eastAsia"/>
        </w:rPr>
        <w:t xml:space="preserve"> </w:t>
      </w:r>
    </w:p>
    <w:p w14:paraId="7B0947E8" w14:textId="1832515D" w:rsidR="0033046B" w:rsidRDefault="00FF2917" w:rsidP="00DA0039">
      <w:pPr>
        <w:pStyle w:val="ac"/>
        <w:spacing w:beforeLines="50" w:before="120"/>
        <w:rPr>
          <w:rFonts w:cs="Arial"/>
        </w:rPr>
      </w:pPr>
      <w:r>
        <w:rPr>
          <w:rFonts w:cs="Arial" w:hint="eastAsia"/>
        </w:rPr>
        <w:t>F</w:t>
      </w:r>
      <w:r>
        <w:rPr>
          <w:rFonts w:cs="Arial"/>
        </w:rPr>
        <w:t xml:space="preserve">or </w:t>
      </w:r>
      <w:r w:rsidR="009C4398">
        <w:rPr>
          <w:rFonts w:cs="Arial"/>
        </w:rPr>
        <w:t>L3 measurement configuration, it is still not clear whether frequent update of L3 measurement is needed for LTM</w:t>
      </w:r>
      <w:r w:rsidR="00782AE8">
        <w:rPr>
          <w:rFonts w:cs="Arial"/>
        </w:rPr>
        <w:t xml:space="preserve"> within same CU. If </w:t>
      </w:r>
      <w:r w:rsidR="00672F08">
        <w:rPr>
          <w:rFonts w:cs="Arial"/>
        </w:rPr>
        <w:t>measConfig needs to be changed, a subsequent RRC reconfiguration procedure can be triggered after LTM is completed</w:t>
      </w:r>
      <w:r w:rsidR="0033046B">
        <w:rPr>
          <w:rFonts w:cs="Arial"/>
        </w:rPr>
        <w:t>.</w:t>
      </w:r>
    </w:p>
    <w:p w14:paraId="72EB76A0" w14:textId="172A0714" w:rsidR="00DC5EB2" w:rsidRDefault="00AD649B" w:rsidP="00B1755C">
      <w:pPr>
        <w:rPr>
          <w:lang w:val="en-US"/>
        </w:rPr>
      </w:pPr>
      <w:r>
        <w:t>Based on above discussion</w:t>
      </w:r>
      <w:r w:rsidR="00F80CFE">
        <w:t>s, it is proposed to adopt CellGroupConfig IE for LTM candidate configuration.</w:t>
      </w:r>
    </w:p>
    <w:p w14:paraId="4803528F" w14:textId="46BA0E34" w:rsidR="00EB670E" w:rsidRPr="00655D06" w:rsidRDefault="00D11B70" w:rsidP="00655D06">
      <w:pPr>
        <w:pStyle w:val="Proposal"/>
        <w:rPr>
          <w:rFonts w:cs="Arial"/>
        </w:rPr>
      </w:pPr>
      <w:bookmarkStart w:id="2" w:name="_Toc118367039"/>
      <w:bookmarkStart w:id="3" w:name="_Toc118379429"/>
      <w:bookmarkStart w:id="4" w:name="_Toc118379706"/>
      <w:bookmarkStart w:id="5" w:name="_Toc118367040"/>
      <w:bookmarkStart w:id="6" w:name="_Toc118379430"/>
      <w:bookmarkStart w:id="7" w:name="_Toc118379707"/>
      <w:bookmarkStart w:id="8" w:name="_Toc118367041"/>
      <w:bookmarkStart w:id="9" w:name="_Toc118379431"/>
      <w:bookmarkStart w:id="10" w:name="_Toc118379708"/>
      <w:bookmarkStart w:id="11" w:name="_Toc118367042"/>
      <w:bookmarkStart w:id="12" w:name="_Toc118379432"/>
      <w:bookmarkStart w:id="13" w:name="_Toc118379709"/>
      <w:bookmarkStart w:id="14" w:name="_Toc118470662"/>
      <w:bookmarkEnd w:id="2"/>
      <w:bookmarkEnd w:id="3"/>
      <w:bookmarkEnd w:id="4"/>
      <w:bookmarkEnd w:id="5"/>
      <w:bookmarkEnd w:id="6"/>
      <w:bookmarkEnd w:id="7"/>
      <w:bookmarkEnd w:id="8"/>
      <w:bookmarkEnd w:id="9"/>
      <w:bookmarkEnd w:id="10"/>
      <w:bookmarkEnd w:id="11"/>
      <w:bookmarkEnd w:id="12"/>
      <w:bookmarkEnd w:id="13"/>
      <w:r>
        <w:rPr>
          <w:rFonts w:cs="Arial"/>
        </w:rPr>
        <w:lastRenderedPageBreak/>
        <w:t>CellGroupConfig IE is used to configure candidate cell</w:t>
      </w:r>
      <w:r w:rsidR="00166671">
        <w:rPr>
          <w:rFonts w:cs="Arial" w:hint="eastAsia"/>
        </w:rPr>
        <w:t>s</w:t>
      </w:r>
      <w:r>
        <w:rPr>
          <w:rFonts w:cs="Arial"/>
        </w:rPr>
        <w:t xml:space="preserve"> for L1/L2 mobility</w:t>
      </w:r>
      <w:r w:rsidR="00B1755C" w:rsidRPr="00F31A51">
        <w:rPr>
          <w:rFonts w:cs="Arial"/>
        </w:rPr>
        <w:t>.</w:t>
      </w:r>
      <w:bookmarkEnd w:id="14"/>
    </w:p>
    <w:p w14:paraId="3AE335C1" w14:textId="225A992F" w:rsidR="00911344" w:rsidRDefault="00911344" w:rsidP="00520609">
      <w:pPr>
        <w:pStyle w:val="2"/>
        <w:tabs>
          <w:tab w:val="left" w:pos="3402"/>
        </w:tabs>
      </w:pPr>
      <w:r>
        <w:t>LTM to candidate cell</w:t>
      </w:r>
    </w:p>
    <w:p w14:paraId="10F58F2B" w14:textId="38B81068" w:rsidR="00054120" w:rsidRPr="00520609" w:rsidRDefault="00054120" w:rsidP="00520609">
      <w:r>
        <w:t>In last meeting, we have made the following agreements.</w:t>
      </w:r>
    </w:p>
    <w:p w14:paraId="10C62A0B" w14:textId="77777777" w:rsidR="00054120" w:rsidRPr="00A2219A" w:rsidRDefault="00054120" w:rsidP="00054120">
      <w:pPr>
        <w:pStyle w:val="Agreement"/>
        <w:rPr>
          <w:lang w:val="en-US"/>
        </w:rPr>
      </w:pPr>
      <w:r>
        <w:rPr>
          <w:lang w:val="en-US"/>
        </w:rPr>
        <w:t xml:space="preserve">RAN2 assumes that sequential L1L2 cell change between Candidates without RRC reconfiguration can be supported. </w:t>
      </w:r>
    </w:p>
    <w:p w14:paraId="1D4792DC" w14:textId="77777777" w:rsidR="00054120" w:rsidRDefault="00054120" w:rsidP="00054120">
      <w:pPr>
        <w:pStyle w:val="Agreement"/>
        <w:rPr>
          <w:lang w:val="en-US"/>
        </w:rPr>
      </w:pPr>
      <w:r>
        <w:rPr>
          <w:lang w:val="en-US"/>
        </w:rPr>
        <w:t>RAN2 assumes that c</w:t>
      </w:r>
      <w:r w:rsidRPr="00A2219A">
        <w:rPr>
          <w:lang w:val="en-US"/>
        </w:rPr>
        <w:t>andidate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rPr>
          <w:lang w:val="en-US"/>
        </w:rPr>
        <w:t xml:space="preserve"> (FFS later whether some optimization should be applied e.g. for release). </w:t>
      </w:r>
    </w:p>
    <w:p w14:paraId="298D3DB8" w14:textId="77777777" w:rsidR="00054120" w:rsidRDefault="00054120" w:rsidP="00675953"/>
    <w:p w14:paraId="28E898EF" w14:textId="5D68205E" w:rsidR="00AD7975" w:rsidRDefault="00054120" w:rsidP="00675953">
      <w:r>
        <w:rPr>
          <w:rFonts w:hint="eastAsia"/>
        </w:rPr>
        <w:t>A</w:t>
      </w:r>
      <w:r>
        <w:t xml:space="preserve">s agreed, subsequent LTM without RRC reconfiguration is supported. </w:t>
      </w:r>
      <w:r w:rsidR="00610DE2">
        <w:t>And</w:t>
      </w:r>
      <w:r>
        <w:t xml:space="preserve"> </w:t>
      </w:r>
      <w:r w:rsidR="00DF7F7E" w:rsidRPr="00A2219A">
        <w:rPr>
          <w:lang w:val="en-US"/>
        </w:rPr>
        <w:t>candidate</w:t>
      </w:r>
      <w:r w:rsidRPr="00A2219A">
        <w:rPr>
          <w:lang w:val="en-US"/>
        </w:rPr>
        <w:t xml:space="preserv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t xml:space="preserve">. With candidate configuration maintained by UE, it </w:t>
      </w:r>
      <w:r w:rsidR="00C91A6F">
        <w:t>should be clarified</w:t>
      </w:r>
      <w:r>
        <w:t xml:space="preserve"> whether </w:t>
      </w:r>
      <w:r w:rsidR="00574B41">
        <w:t>a</w:t>
      </w:r>
      <w:r w:rsidR="00610DE2">
        <w:t>ll</w:t>
      </w:r>
      <w:r w:rsidR="00574B41">
        <w:t xml:space="preserve"> candidate</w:t>
      </w:r>
      <w:r w:rsidR="00DF7F7E">
        <w:t xml:space="preserve"> configuration</w:t>
      </w:r>
      <w:r w:rsidR="00A80589">
        <w:t>s</w:t>
      </w:r>
      <w:r w:rsidR="00610DE2">
        <w:t xml:space="preserve"> can be </w:t>
      </w:r>
      <w:r w:rsidR="00A80589">
        <w:t>assumed as valid before</w:t>
      </w:r>
      <w:r w:rsidR="0006638F">
        <w:t xml:space="preserve"> explicitly </w:t>
      </w:r>
      <w:r w:rsidR="00A80589">
        <w:t>released by network</w:t>
      </w:r>
      <w:r w:rsidR="0006638F">
        <w:t xml:space="preserve">. </w:t>
      </w:r>
      <w:r w:rsidR="00971CFC">
        <w:t>For example, should there be any restriction that a same candidate configuration cannot be applied more than one time?</w:t>
      </w:r>
    </w:p>
    <w:p w14:paraId="5FF51518" w14:textId="55D0F08F" w:rsidR="00B726F8" w:rsidRDefault="00AD7975" w:rsidP="00675953">
      <w:r>
        <w:t xml:space="preserve">As what was discussed in selective activation of SCGs, </w:t>
      </w:r>
      <w:r w:rsidR="00F23269">
        <w:t xml:space="preserve">there would be security key reuse issue if </w:t>
      </w:r>
      <w:r>
        <w:t>UE move</w:t>
      </w:r>
      <w:r w:rsidR="00F23269">
        <w:t>s</w:t>
      </w:r>
      <w:r>
        <w:t xml:space="preserve"> back to a same candidate</w:t>
      </w:r>
      <w:r w:rsidR="00F23269">
        <w:t xml:space="preserve"> without no new sk_counter provided</w:t>
      </w:r>
      <w:r>
        <w:t xml:space="preserve">. </w:t>
      </w:r>
      <w:r w:rsidR="001F04B4">
        <w:t xml:space="preserve">For LTM, security key is not changed since </w:t>
      </w:r>
      <w:r w:rsidR="00866C0D">
        <w:t>it is focused on intra-CU scenario. Furthermore, LTM is assumed to triggered by NW, it can up to network to guarantee the validity of indicated target cell</w:t>
      </w:r>
      <w:r w:rsidR="00443FFA">
        <w:t xml:space="preserve">. </w:t>
      </w:r>
    </w:p>
    <w:p w14:paraId="67F41EC6" w14:textId="34858518" w:rsidR="00911344" w:rsidRPr="00123C07" w:rsidRDefault="00B64174" w:rsidP="00911344">
      <w:pPr>
        <w:pStyle w:val="Proposal"/>
        <w:rPr>
          <w:rFonts w:cs="Arial"/>
          <w:lang w:val="en-US"/>
        </w:rPr>
      </w:pPr>
      <w:bookmarkStart w:id="15" w:name="_Toc118470663"/>
      <w:r>
        <w:rPr>
          <w:rFonts w:cs="Arial"/>
          <w:lang w:val="en-US"/>
        </w:rPr>
        <w:t>UE</w:t>
      </w:r>
      <w:r w:rsidRPr="00123C07">
        <w:rPr>
          <w:rFonts w:cs="Arial" w:hint="eastAsia"/>
          <w:lang w:val="en-US"/>
        </w:rPr>
        <w:t xml:space="preserve"> </w:t>
      </w:r>
      <w:r w:rsidR="004B2DF6">
        <w:rPr>
          <w:rFonts w:cs="Arial"/>
          <w:lang w:val="en-US"/>
        </w:rPr>
        <w:t>considers</w:t>
      </w:r>
      <w:r w:rsidR="004B2DF6" w:rsidRPr="00123C07">
        <w:rPr>
          <w:rFonts w:cs="Arial" w:hint="eastAsia"/>
          <w:lang w:val="en-US"/>
        </w:rPr>
        <w:t xml:space="preserve"> </w:t>
      </w:r>
      <w:r w:rsidR="00911344" w:rsidRPr="00123C07">
        <w:rPr>
          <w:rFonts w:cs="Arial" w:hint="eastAsia"/>
          <w:lang w:val="en-US"/>
        </w:rPr>
        <w:t>all candidate</w:t>
      </w:r>
      <w:r w:rsidR="005C3AFA">
        <w:rPr>
          <w:rFonts w:cs="Arial"/>
          <w:lang w:val="en-US"/>
        </w:rPr>
        <w:t xml:space="preserve"> cell</w:t>
      </w:r>
      <w:r w:rsidR="00911344" w:rsidRPr="00123C07">
        <w:rPr>
          <w:rFonts w:cs="Arial" w:hint="eastAsia"/>
          <w:lang w:val="en-US"/>
        </w:rPr>
        <w:t xml:space="preserve">s </w:t>
      </w:r>
      <w:r w:rsidR="004B2DF6">
        <w:rPr>
          <w:rFonts w:cs="Arial"/>
          <w:lang w:val="en-US"/>
        </w:rPr>
        <w:t>as</w:t>
      </w:r>
      <w:r w:rsidR="004B2DF6" w:rsidRPr="00123C07">
        <w:rPr>
          <w:rFonts w:cs="Arial" w:hint="eastAsia"/>
          <w:lang w:val="en-US"/>
        </w:rPr>
        <w:t xml:space="preserve"> </w:t>
      </w:r>
      <w:r w:rsidR="00911344" w:rsidRPr="00123C07">
        <w:rPr>
          <w:rFonts w:cs="Arial" w:hint="eastAsia"/>
          <w:lang w:val="en-US"/>
        </w:rPr>
        <w:t xml:space="preserve">valid </w:t>
      </w:r>
      <w:r w:rsidR="004B2DF6">
        <w:rPr>
          <w:rFonts w:cs="Arial"/>
          <w:lang w:val="en-US"/>
        </w:rPr>
        <w:t>unless</w:t>
      </w:r>
      <w:r w:rsidR="004B2DF6" w:rsidRPr="00123C07">
        <w:rPr>
          <w:rFonts w:cs="Arial" w:hint="eastAsia"/>
          <w:lang w:val="en-US"/>
        </w:rPr>
        <w:t xml:space="preserve"> </w:t>
      </w:r>
      <w:r w:rsidR="00911344" w:rsidRPr="00123C07">
        <w:rPr>
          <w:rFonts w:cs="Arial" w:hint="eastAsia"/>
          <w:lang w:val="en-US"/>
        </w:rPr>
        <w:t xml:space="preserve">NW </w:t>
      </w:r>
      <w:r w:rsidR="008C75FB">
        <w:rPr>
          <w:rFonts w:cs="Arial"/>
          <w:lang w:val="en-US"/>
        </w:rPr>
        <w:t xml:space="preserve">explicitly </w:t>
      </w:r>
      <w:r w:rsidR="00911344" w:rsidRPr="00123C07">
        <w:rPr>
          <w:rFonts w:cs="Arial" w:hint="eastAsia"/>
          <w:lang w:val="en-US"/>
        </w:rPr>
        <w:t>release</w:t>
      </w:r>
      <w:r w:rsidR="004B2DF6">
        <w:rPr>
          <w:rFonts w:cs="Arial"/>
          <w:lang w:val="en-US"/>
        </w:rPr>
        <w:t>s</w:t>
      </w:r>
      <w:r w:rsidR="00911344" w:rsidRPr="00123C07">
        <w:rPr>
          <w:rFonts w:cs="Arial" w:hint="eastAsia"/>
          <w:lang w:val="en-US"/>
        </w:rPr>
        <w:t xml:space="preserve"> </w:t>
      </w:r>
      <w:r w:rsidR="005C3AFA">
        <w:rPr>
          <w:rFonts w:cs="Arial"/>
          <w:lang w:val="en-US"/>
        </w:rPr>
        <w:t>them</w:t>
      </w:r>
      <w:r w:rsidR="00911344" w:rsidRPr="00123C07">
        <w:rPr>
          <w:rFonts w:cs="Arial" w:hint="eastAsia"/>
          <w:lang w:val="en-US"/>
        </w:rPr>
        <w:t>.</w:t>
      </w:r>
      <w:bookmarkEnd w:id="15"/>
    </w:p>
    <w:p w14:paraId="5BE5C329" w14:textId="1364A91F" w:rsidR="0094518C" w:rsidRPr="005D6EFD" w:rsidRDefault="00911344" w:rsidP="005D6EFD">
      <w:r w:rsidRPr="00520609">
        <w:t>In legacy CHO, the source cell where CHO configuration is received will not be configured as a candidate because subsequent CHO without reconfiguration is not supported. Since subsequent LTM is allowed, there would be a case that UE moves back to initial source cell (i.e., the cell where LTM candidate configurations are received) after several times of cell switch. Therefore, it is proposed that initial source cell can be also configured as a candidate cell for subsequent LTM, i.e., UE can perform LTM to initial source cell as long as it is configured as a candidate cell.</w:t>
      </w:r>
    </w:p>
    <w:p w14:paraId="452DF1D2" w14:textId="532C7953" w:rsidR="008C2470" w:rsidRPr="004A147A" w:rsidRDefault="004A147A">
      <w:pPr>
        <w:pStyle w:val="Proposal"/>
        <w:rPr>
          <w:rFonts w:cs="Arial"/>
          <w:lang w:val="en-US"/>
        </w:rPr>
      </w:pPr>
      <w:bookmarkStart w:id="16" w:name="_Toc118379437"/>
      <w:bookmarkStart w:id="17" w:name="_Toc118379712"/>
      <w:bookmarkStart w:id="18" w:name="_Toc118470664"/>
      <w:bookmarkEnd w:id="16"/>
      <w:bookmarkEnd w:id="17"/>
      <w:r w:rsidRPr="004A147A">
        <w:rPr>
          <w:rFonts w:cs="Arial"/>
          <w:lang w:val="en-US"/>
        </w:rPr>
        <w:t xml:space="preserve">UE can </w:t>
      </w:r>
      <w:r w:rsidR="005C3AFA">
        <w:rPr>
          <w:rFonts w:cs="Arial"/>
          <w:lang w:val="en-US"/>
        </w:rPr>
        <w:t xml:space="preserve">also </w:t>
      </w:r>
      <w:r w:rsidRPr="004A147A">
        <w:rPr>
          <w:rFonts w:cs="Arial"/>
          <w:lang w:val="en-US"/>
        </w:rPr>
        <w:t xml:space="preserve">perform </w:t>
      </w:r>
      <w:r w:rsidR="00867E47">
        <w:rPr>
          <w:rFonts w:cs="Arial"/>
          <w:lang w:val="en-US"/>
        </w:rPr>
        <w:t xml:space="preserve">subsequent </w:t>
      </w:r>
      <w:r w:rsidRPr="004A147A">
        <w:rPr>
          <w:rFonts w:cs="Arial"/>
          <w:lang w:val="en-US"/>
        </w:rPr>
        <w:t xml:space="preserve">LTM to </w:t>
      </w:r>
      <w:r w:rsidR="005C3AFA">
        <w:rPr>
          <w:rFonts w:cs="Arial"/>
          <w:lang w:val="en-US"/>
        </w:rPr>
        <w:t xml:space="preserve">the </w:t>
      </w:r>
      <w:r w:rsidRPr="004A147A">
        <w:rPr>
          <w:rFonts w:cs="Arial"/>
          <w:lang w:val="en-US"/>
        </w:rPr>
        <w:t xml:space="preserve">initial source cell </w:t>
      </w:r>
      <w:r w:rsidR="005C3AFA">
        <w:rPr>
          <w:rFonts w:cs="Arial"/>
          <w:lang w:val="en-US"/>
        </w:rPr>
        <w:t>as long as</w:t>
      </w:r>
      <w:r w:rsidR="005C3AFA" w:rsidRPr="004A147A">
        <w:rPr>
          <w:rFonts w:cs="Arial"/>
          <w:lang w:val="en-US"/>
        </w:rPr>
        <w:t xml:space="preserve"> </w:t>
      </w:r>
      <w:r w:rsidRPr="004A147A">
        <w:rPr>
          <w:rFonts w:cs="Arial"/>
          <w:lang w:val="en-US"/>
        </w:rPr>
        <w:t>it is configured as a candidate cell.</w:t>
      </w:r>
      <w:bookmarkEnd w:id="18"/>
    </w:p>
    <w:p w14:paraId="30A6AD47" w14:textId="77777777" w:rsidR="0062655D" w:rsidRDefault="0062655D" w:rsidP="0062655D">
      <w:pPr>
        <w:pStyle w:val="2"/>
      </w:pPr>
      <w:r>
        <w:t>Support of delta configuration</w:t>
      </w:r>
    </w:p>
    <w:p w14:paraId="20BD86E8" w14:textId="3B09ADAB" w:rsidR="0062655D" w:rsidRDefault="00F97D1C" w:rsidP="00D25268">
      <w:pPr>
        <w:jc w:val="left"/>
      </w:pPr>
      <w:r>
        <w:t>For the support of delta configuration, progress was made as follows:</w:t>
      </w:r>
    </w:p>
    <w:p w14:paraId="4C696CA7" w14:textId="77777777" w:rsidR="00F97D1C" w:rsidRPr="00E02D9B" w:rsidRDefault="00F97D1C" w:rsidP="00F97D1C">
      <w:pPr>
        <w:pStyle w:val="Agreement"/>
        <w:rPr>
          <w:lang w:val="en-US"/>
        </w:rPr>
      </w:pPr>
      <w:r>
        <w:rPr>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14:paraId="4EB2F0B3" w14:textId="77777777" w:rsidR="002615AC" w:rsidRDefault="002615AC" w:rsidP="0062655D">
      <w:pPr>
        <w:rPr>
          <w:lang w:val="en-US"/>
        </w:rPr>
      </w:pPr>
    </w:p>
    <w:p w14:paraId="4F640A29" w14:textId="279D0DE0" w:rsidR="0045504C" w:rsidRDefault="002615AC" w:rsidP="0062655D">
      <w:pPr>
        <w:rPr>
          <w:lang w:val="en-US"/>
        </w:rPr>
      </w:pPr>
      <w:r>
        <w:rPr>
          <w:lang w:val="en-US"/>
        </w:rPr>
        <w:t>To reduce signaling overhead, it was agreed LTM candidate can be provided as delta configuration on top of a reference configuration, FFS on</w:t>
      </w:r>
      <w:r>
        <w:rPr>
          <w:rFonts w:hint="eastAsia"/>
          <w:lang w:val="en-US"/>
        </w:rPr>
        <w:t xml:space="preserve"> </w:t>
      </w:r>
      <w:r>
        <w:rPr>
          <w:lang w:val="en-US"/>
        </w:rPr>
        <w:t>what configuration is used as reference.</w:t>
      </w:r>
    </w:p>
    <w:p w14:paraId="0FA7764D" w14:textId="06DFA0CF" w:rsidR="00A10A0B" w:rsidRDefault="0062655D" w:rsidP="0062655D">
      <w:pPr>
        <w:rPr>
          <w:lang w:val="en-US"/>
        </w:rPr>
      </w:pPr>
      <w:r>
        <w:rPr>
          <w:lang w:val="en-US"/>
        </w:rPr>
        <w:t xml:space="preserve">In legacy handover, source cell configuration is taken as reference to support delta configuration for target cell. While for </w:t>
      </w:r>
      <w:r w:rsidR="002615AC">
        <w:rPr>
          <w:lang w:val="en-US"/>
        </w:rPr>
        <w:t>LTM</w:t>
      </w:r>
      <w:r>
        <w:rPr>
          <w:lang w:val="en-US"/>
        </w:rPr>
        <w:t xml:space="preserve">, the source cell is changing </w:t>
      </w:r>
      <w:r w:rsidR="000E35AA">
        <w:rPr>
          <w:lang w:val="en-US"/>
        </w:rPr>
        <w:t>due to the support of</w:t>
      </w:r>
      <w:r w:rsidR="002615AC">
        <w:rPr>
          <w:lang w:val="en-US"/>
        </w:rPr>
        <w:t xml:space="preserve"> </w:t>
      </w:r>
      <w:r>
        <w:rPr>
          <w:lang w:val="en-US"/>
        </w:rPr>
        <w:t>subsequent</w:t>
      </w:r>
      <w:r w:rsidR="00E07BE0">
        <w:rPr>
          <w:lang w:val="en-US"/>
        </w:rPr>
        <w:t xml:space="preserve"> LTM</w:t>
      </w:r>
      <w:r>
        <w:rPr>
          <w:lang w:val="en-US"/>
        </w:rPr>
        <w:t xml:space="preserve"> </w:t>
      </w:r>
      <w:r w:rsidR="00E07BE0">
        <w:rPr>
          <w:lang w:val="en-US"/>
        </w:rPr>
        <w:t>without RRC reconfiguration</w:t>
      </w:r>
      <w:r>
        <w:rPr>
          <w:lang w:val="en-US"/>
        </w:rPr>
        <w:t xml:space="preserve">. </w:t>
      </w:r>
      <w:r w:rsidR="000E35AA">
        <w:rPr>
          <w:lang w:val="en-US"/>
        </w:rPr>
        <w:t>I</w:t>
      </w:r>
      <w:r>
        <w:rPr>
          <w:lang w:val="en-US"/>
        </w:rPr>
        <w:t>t is necessary to</w:t>
      </w:r>
      <w:r w:rsidR="00786BBA">
        <w:rPr>
          <w:lang w:val="en-US"/>
        </w:rPr>
        <w:t xml:space="preserve"> define</w:t>
      </w:r>
      <w:r>
        <w:rPr>
          <w:lang w:val="en-US"/>
        </w:rPr>
        <w:t xml:space="preserve"> a</w:t>
      </w:r>
      <w:r w:rsidR="00786BBA">
        <w:rPr>
          <w:lang w:val="en-US"/>
        </w:rPr>
        <w:t xml:space="preserve"> specific</w:t>
      </w:r>
      <w:r>
        <w:rPr>
          <w:lang w:val="en-US"/>
        </w:rPr>
        <w:t xml:space="preserve"> configuration </w:t>
      </w:r>
      <w:r w:rsidR="00786BBA">
        <w:rPr>
          <w:lang w:val="en-US"/>
        </w:rPr>
        <w:t xml:space="preserve">as </w:t>
      </w:r>
      <w:r>
        <w:rPr>
          <w:lang w:val="en-US"/>
        </w:rPr>
        <w:t>reference so that the candidate</w:t>
      </w:r>
      <w:r w:rsidR="00A10A0B">
        <w:rPr>
          <w:lang w:val="en-US"/>
        </w:rPr>
        <w:t xml:space="preserve"> configurations</w:t>
      </w:r>
      <w:r>
        <w:rPr>
          <w:lang w:val="en-US"/>
        </w:rPr>
        <w:t xml:space="preserve"> can keep valid</w:t>
      </w:r>
      <w:r w:rsidR="00A10A0B">
        <w:rPr>
          <w:lang w:val="en-US"/>
        </w:rPr>
        <w:t xml:space="preserve"> during subsequent LTM</w:t>
      </w:r>
      <w:r>
        <w:rPr>
          <w:lang w:val="en-US"/>
        </w:rPr>
        <w:t xml:space="preserve">. </w:t>
      </w:r>
      <w:r w:rsidR="0052502A">
        <w:rPr>
          <w:lang w:val="en-US"/>
        </w:rPr>
        <w:t>The following two options can be considered to provide the reference configuration.</w:t>
      </w:r>
    </w:p>
    <w:p w14:paraId="4C28E723" w14:textId="27C34B84" w:rsidR="00B4617A" w:rsidRPr="00B4617A" w:rsidRDefault="00B4617A" w:rsidP="005D6EFD">
      <w:pPr>
        <w:pStyle w:val="afc"/>
        <w:numPr>
          <w:ilvl w:val="0"/>
          <w:numId w:val="23"/>
        </w:numPr>
        <w:ind w:firstLineChars="0"/>
        <w:rPr>
          <w:lang w:val="en-US"/>
        </w:rPr>
      </w:pPr>
      <w:r>
        <w:rPr>
          <w:lang w:val="en-US"/>
        </w:rPr>
        <w:t>Option1: Current source serving cell configuration as reference.</w:t>
      </w:r>
    </w:p>
    <w:p w14:paraId="18DE4718" w14:textId="5CB105E4" w:rsidR="0052502A" w:rsidRPr="0076470B" w:rsidRDefault="0052502A" w:rsidP="00520609">
      <w:pPr>
        <w:pStyle w:val="afc"/>
        <w:numPr>
          <w:ilvl w:val="0"/>
          <w:numId w:val="23"/>
        </w:numPr>
        <w:ind w:firstLineChars="0"/>
        <w:rPr>
          <w:lang w:val="en-US"/>
        </w:rPr>
      </w:pPr>
      <w:r w:rsidRPr="0076470B">
        <w:rPr>
          <w:lang w:val="en-US"/>
        </w:rPr>
        <w:t xml:space="preserve">Option1: NW provides a </w:t>
      </w:r>
      <w:r w:rsidR="00A33D31" w:rsidRPr="0076470B">
        <w:rPr>
          <w:lang w:val="en-US"/>
        </w:rPr>
        <w:t>specific</w:t>
      </w:r>
      <w:r w:rsidR="00D526CB" w:rsidRPr="0076470B">
        <w:rPr>
          <w:lang w:val="en-US"/>
        </w:rPr>
        <w:t xml:space="preserve"> configuration as reference</w:t>
      </w:r>
      <w:r w:rsidR="003F2229" w:rsidRPr="0076470B">
        <w:rPr>
          <w:lang w:val="en-US"/>
        </w:rPr>
        <w:t>, e.g., a sperate configuration other than candidate configurations.</w:t>
      </w:r>
    </w:p>
    <w:p w14:paraId="62AAD892" w14:textId="0A0D06E6" w:rsidR="0052502A" w:rsidRDefault="0052502A" w:rsidP="00520609">
      <w:pPr>
        <w:pStyle w:val="afc"/>
        <w:numPr>
          <w:ilvl w:val="0"/>
          <w:numId w:val="23"/>
        </w:numPr>
        <w:ind w:firstLineChars="0"/>
        <w:rPr>
          <w:lang w:val="en-US"/>
        </w:rPr>
      </w:pPr>
      <w:r w:rsidRPr="0076470B">
        <w:rPr>
          <w:lang w:val="en-US"/>
        </w:rPr>
        <w:t>Option</w:t>
      </w:r>
      <w:r w:rsidR="00B4617A">
        <w:rPr>
          <w:lang w:val="en-US"/>
        </w:rPr>
        <w:t>3</w:t>
      </w:r>
      <w:r w:rsidRPr="0076470B">
        <w:rPr>
          <w:lang w:val="en-US"/>
        </w:rPr>
        <w:t xml:space="preserve">: </w:t>
      </w:r>
      <w:r w:rsidR="004E7F65" w:rsidRPr="0076470B">
        <w:rPr>
          <w:lang w:val="en-US"/>
        </w:rPr>
        <w:t xml:space="preserve">The initial source cell configuration is used as reference. </w:t>
      </w:r>
    </w:p>
    <w:p w14:paraId="217AF8E7" w14:textId="4B2F9C7C" w:rsidR="0062655D" w:rsidRPr="0041689E" w:rsidRDefault="00B4617A" w:rsidP="0062655D">
      <w:pPr>
        <w:rPr>
          <w:lang w:val="en-US"/>
        </w:rPr>
      </w:pPr>
      <w:r>
        <w:rPr>
          <w:lang w:val="en-US"/>
        </w:rPr>
        <w:t>For Option1, legacy principle is reused</w:t>
      </w:r>
      <w:r w:rsidR="00E537C8">
        <w:rPr>
          <w:lang w:val="en-US"/>
        </w:rPr>
        <w:t xml:space="preserve"> but this option is difficult for NW to prepare candidate configurations. Since the movement of UE can not be predicted, NW has to prepare each candidate</w:t>
      </w:r>
      <w:r w:rsidR="00C567D6">
        <w:rPr>
          <w:lang w:val="en-US"/>
        </w:rPr>
        <w:t xml:space="preserve"> configuration</w:t>
      </w:r>
      <w:r w:rsidR="00E537C8">
        <w:rPr>
          <w:lang w:val="en-US"/>
        </w:rPr>
        <w:t xml:space="preserve"> </w:t>
      </w:r>
      <w:r w:rsidR="00C567D6">
        <w:rPr>
          <w:lang w:val="en-US"/>
        </w:rPr>
        <w:t>by taking other candidate configurations as reference.</w:t>
      </w:r>
      <w:r w:rsidR="00E537C8">
        <w:rPr>
          <w:lang w:val="en-US"/>
        </w:rPr>
        <w:t xml:space="preserve"> </w:t>
      </w:r>
      <w:r w:rsidR="00A33D31">
        <w:rPr>
          <w:lang w:val="en-US"/>
        </w:rPr>
        <w:t>Both option</w:t>
      </w:r>
      <w:r>
        <w:rPr>
          <w:lang w:val="en-US"/>
        </w:rPr>
        <w:t>2</w:t>
      </w:r>
      <w:r w:rsidR="00E537C8">
        <w:rPr>
          <w:lang w:val="en-US"/>
        </w:rPr>
        <w:t xml:space="preserve"> </w:t>
      </w:r>
      <w:r>
        <w:rPr>
          <w:lang w:val="en-US"/>
        </w:rPr>
        <w:t>and Option3</w:t>
      </w:r>
      <w:r w:rsidR="00A33D31">
        <w:rPr>
          <w:lang w:val="en-US"/>
        </w:rPr>
        <w:t xml:space="preserve"> can work </w:t>
      </w:r>
      <w:r>
        <w:rPr>
          <w:lang w:val="en-US"/>
        </w:rPr>
        <w:t>and are more efficient than Option1. B</w:t>
      </w:r>
      <w:r w:rsidR="00A33D31">
        <w:rPr>
          <w:lang w:val="en-US"/>
        </w:rPr>
        <w:t>ut compared to Option</w:t>
      </w:r>
      <w:r>
        <w:rPr>
          <w:lang w:val="en-US"/>
        </w:rPr>
        <w:t>2</w:t>
      </w:r>
      <w:r w:rsidR="00A33D31">
        <w:rPr>
          <w:lang w:val="en-US"/>
        </w:rPr>
        <w:t xml:space="preserve">, </w:t>
      </w:r>
      <w:r w:rsidR="00CF5E1D">
        <w:rPr>
          <w:lang w:val="en-US"/>
        </w:rPr>
        <w:t>Option</w:t>
      </w:r>
      <w:r>
        <w:rPr>
          <w:lang w:val="en-US"/>
        </w:rPr>
        <w:t>3</w:t>
      </w:r>
      <w:r w:rsidR="00CF5E1D">
        <w:rPr>
          <w:lang w:val="en-US"/>
        </w:rPr>
        <w:t xml:space="preserve"> has advantage that </w:t>
      </w:r>
      <w:r w:rsidR="0062655D">
        <w:rPr>
          <w:lang w:val="en-US"/>
        </w:rPr>
        <w:t xml:space="preserve">no extra signaling is needed to provide the reference configuration. </w:t>
      </w:r>
      <w:r w:rsidR="00C60F6D">
        <w:rPr>
          <w:lang w:val="en-US"/>
        </w:rPr>
        <w:t>With Option</w:t>
      </w:r>
      <w:r>
        <w:rPr>
          <w:lang w:val="en-US"/>
        </w:rPr>
        <w:t>3</w:t>
      </w:r>
      <w:r w:rsidR="00C60F6D">
        <w:rPr>
          <w:lang w:val="en-US"/>
        </w:rPr>
        <w:t xml:space="preserve">, </w:t>
      </w:r>
      <w:r w:rsidR="00705F54">
        <w:rPr>
          <w:lang w:val="en-US"/>
        </w:rPr>
        <w:t xml:space="preserve">reference configuration can be available by just requiring </w:t>
      </w:r>
      <w:r w:rsidR="0062655D">
        <w:rPr>
          <w:lang w:val="en-US"/>
        </w:rPr>
        <w:t>UE</w:t>
      </w:r>
      <w:r w:rsidR="0048354A">
        <w:rPr>
          <w:lang w:val="en-US"/>
        </w:rPr>
        <w:t xml:space="preserve"> </w:t>
      </w:r>
      <w:r w:rsidR="004252DB">
        <w:rPr>
          <w:lang w:val="en-US"/>
        </w:rPr>
        <w:t xml:space="preserve">to </w:t>
      </w:r>
      <w:r w:rsidR="0062655D">
        <w:rPr>
          <w:lang w:val="en-US"/>
        </w:rPr>
        <w:t>store the full configuration</w:t>
      </w:r>
      <w:r w:rsidR="0048354A">
        <w:rPr>
          <w:lang w:val="en-US"/>
        </w:rPr>
        <w:t xml:space="preserve"> of the cell </w:t>
      </w:r>
      <w:r w:rsidR="00BE73B3">
        <w:rPr>
          <w:lang w:val="en-US"/>
        </w:rPr>
        <w:t>where</w:t>
      </w:r>
      <w:r w:rsidR="0048354A">
        <w:rPr>
          <w:lang w:val="en-US"/>
        </w:rPr>
        <w:t xml:space="preserve"> LTM candidate configuration is received.</w:t>
      </w:r>
      <w:r w:rsidR="00705F54">
        <w:rPr>
          <w:lang w:val="en-US"/>
        </w:rPr>
        <w:t xml:space="preserve"> Therefore, we propose to apply initial source cell configuration as reference to achieve delta configurations for LTM candidates. </w:t>
      </w:r>
    </w:p>
    <w:p w14:paraId="59D738B0" w14:textId="3F5371AE" w:rsidR="0062655D" w:rsidRPr="00520609" w:rsidRDefault="0062655D" w:rsidP="00655D06">
      <w:pPr>
        <w:pStyle w:val="Proposal"/>
        <w:rPr>
          <w:rFonts w:cs="Arial"/>
        </w:rPr>
      </w:pPr>
      <w:bookmarkStart w:id="19" w:name="_Toc118470665"/>
      <w:r>
        <w:rPr>
          <w:rFonts w:cs="Arial"/>
        </w:rPr>
        <w:lastRenderedPageBreak/>
        <w:t>Initial s</w:t>
      </w:r>
      <w:r w:rsidRPr="004735D6">
        <w:rPr>
          <w:rFonts w:cs="Arial" w:hint="eastAsia"/>
        </w:rPr>
        <w:t>ource cell</w:t>
      </w:r>
      <w:r w:rsidR="00473BC7">
        <w:rPr>
          <w:rFonts w:cs="Arial"/>
        </w:rPr>
        <w:t>’s</w:t>
      </w:r>
      <w:r w:rsidRPr="004735D6">
        <w:rPr>
          <w:rFonts w:cs="Arial" w:hint="eastAsia"/>
        </w:rPr>
        <w:t xml:space="preserve"> configuration is stored as reference for supporting delta configuration of candidate cells.</w:t>
      </w:r>
      <w:bookmarkEnd w:id="19"/>
    </w:p>
    <w:p w14:paraId="4D3C46A5" w14:textId="77777777" w:rsidR="008E065E" w:rsidRPr="00F31A51" w:rsidRDefault="00C01F33" w:rsidP="001131BE">
      <w:pPr>
        <w:pStyle w:val="1"/>
        <w:spacing w:line="276" w:lineRule="auto"/>
      </w:pPr>
      <w:r w:rsidRPr="00F31A51">
        <w:t>Conclusion</w:t>
      </w:r>
    </w:p>
    <w:p w14:paraId="1C6EFBDE" w14:textId="53F7DC19" w:rsidR="0031430C" w:rsidRPr="00F31A51" w:rsidRDefault="0031430C" w:rsidP="000950B5">
      <w:pPr>
        <w:spacing w:line="276" w:lineRule="auto"/>
        <w:rPr>
          <w:rFonts w:cs="Arial"/>
        </w:rPr>
      </w:pPr>
      <w:r w:rsidRPr="00F31A51">
        <w:rPr>
          <w:rFonts w:cs="Arial"/>
        </w:rPr>
        <w:t>Based on the discussion above, we have the following proposals:</w:t>
      </w:r>
    </w:p>
    <w:p w14:paraId="36CD77AC" w14:textId="56F9CA70" w:rsidR="005D6EFD" w:rsidRDefault="00700D8F">
      <w:pPr>
        <w:pStyle w:val="TOC1"/>
        <w:rPr>
          <w:rFonts w:asciiTheme="minorHAnsi" w:eastAsiaTheme="minorEastAsia" w:hAnsiTheme="minorHAnsi" w:cstheme="minorBidi"/>
          <w:b w:val="0"/>
          <w:kern w:val="2"/>
          <w:sz w:val="21"/>
          <w:szCs w:val="22"/>
          <w:lang w:val="en-US"/>
        </w:rPr>
      </w:pPr>
      <w:r w:rsidRPr="00F31A51">
        <w:rPr>
          <w:rFonts w:cs="Arial"/>
          <w:szCs w:val="22"/>
          <w:lang w:val="en-US"/>
        </w:rPr>
        <w:fldChar w:fldCharType="begin"/>
      </w:r>
      <w:r w:rsidRPr="00F31A51">
        <w:rPr>
          <w:rFonts w:cs="Arial"/>
        </w:rPr>
        <w:instrText xml:space="preserve"> TOC \n \p " " \h \z \t "Proposal,1" </w:instrText>
      </w:r>
      <w:r w:rsidRPr="00F31A51">
        <w:rPr>
          <w:rFonts w:cs="Arial"/>
          <w:szCs w:val="22"/>
          <w:lang w:val="en-US"/>
        </w:rPr>
        <w:fldChar w:fldCharType="separate"/>
      </w:r>
      <w:hyperlink w:anchor="_Toc118470662" w:history="1">
        <w:r w:rsidR="005D6EFD" w:rsidRPr="00DE3E14">
          <w:rPr>
            <w:rStyle w:val="af2"/>
            <w:rFonts w:cs="Arial"/>
          </w:rPr>
          <w:t>Proposal 1</w:t>
        </w:r>
        <w:r w:rsidR="005D6EFD">
          <w:rPr>
            <w:rFonts w:asciiTheme="minorHAnsi" w:eastAsiaTheme="minorEastAsia" w:hAnsiTheme="minorHAnsi" w:cstheme="minorBidi"/>
            <w:b w:val="0"/>
            <w:kern w:val="2"/>
            <w:sz w:val="21"/>
            <w:szCs w:val="22"/>
            <w:lang w:val="en-US"/>
          </w:rPr>
          <w:tab/>
        </w:r>
        <w:r w:rsidR="005D6EFD" w:rsidRPr="00DE3E14">
          <w:rPr>
            <w:rStyle w:val="af2"/>
            <w:rFonts w:cs="Arial"/>
          </w:rPr>
          <w:t>CellGroupConfig IE is used to configure candidate cells for L1/L2 mobility.</w:t>
        </w:r>
      </w:hyperlink>
    </w:p>
    <w:p w14:paraId="0374D87B" w14:textId="457A5D7B" w:rsidR="005D6EFD" w:rsidRDefault="002F3DDB">
      <w:pPr>
        <w:pStyle w:val="TOC1"/>
        <w:rPr>
          <w:rFonts w:asciiTheme="minorHAnsi" w:eastAsiaTheme="minorEastAsia" w:hAnsiTheme="minorHAnsi" w:cstheme="minorBidi"/>
          <w:b w:val="0"/>
          <w:kern w:val="2"/>
          <w:sz w:val="21"/>
          <w:szCs w:val="22"/>
          <w:lang w:val="en-US"/>
        </w:rPr>
      </w:pPr>
      <w:hyperlink w:anchor="_Toc118470663" w:history="1">
        <w:r w:rsidR="005D6EFD" w:rsidRPr="00DE3E14">
          <w:rPr>
            <w:rStyle w:val="af2"/>
            <w:rFonts w:cs="Arial"/>
            <w:lang w:val="en-US"/>
          </w:rPr>
          <w:t>Proposal 2</w:t>
        </w:r>
        <w:r w:rsidR="005D6EFD">
          <w:rPr>
            <w:rFonts w:asciiTheme="minorHAnsi" w:eastAsiaTheme="minorEastAsia" w:hAnsiTheme="minorHAnsi" w:cstheme="minorBidi"/>
            <w:b w:val="0"/>
            <w:kern w:val="2"/>
            <w:sz w:val="21"/>
            <w:szCs w:val="22"/>
            <w:lang w:val="en-US"/>
          </w:rPr>
          <w:tab/>
        </w:r>
        <w:r w:rsidR="005D6EFD" w:rsidRPr="00DE3E14">
          <w:rPr>
            <w:rStyle w:val="af2"/>
            <w:rFonts w:cs="Arial"/>
            <w:lang w:val="en-US"/>
          </w:rPr>
          <w:t>UE considers all candidate cells as valid unless NW explicitly releases them.</w:t>
        </w:r>
      </w:hyperlink>
    </w:p>
    <w:p w14:paraId="34A195BD" w14:textId="62A79F4E" w:rsidR="005D6EFD" w:rsidRDefault="002F3DDB">
      <w:pPr>
        <w:pStyle w:val="TOC1"/>
        <w:rPr>
          <w:rFonts w:asciiTheme="minorHAnsi" w:eastAsiaTheme="minorEastAsia" w:hAnsiTheme="minorHAnsi" w:cstheme="minorBidi"/>
          <w:b w:val="0"/>
          <w:kern w:val="2"/>
          <w:sz w:val="21"/>
          <w:szCs w:val="22"/>
          <w:lang w:val="en-US"/>
        </w:rPr>
      </w:pPr>
      <w:hyperlink w:anchor="_Toc118470664" w:history="1">
        <w:r w:rsidR="005D6EFD" w:rsidRPr="00DE3E14">
          <w:rPr>
            <w:rStyle w:val="af2"/>
            <w:rFonts w:cs="Arial"/>
            <w:lang w:val="en-US"/>
          </w:rPr>
          <w:t>Proposal 3</w:t>
        </w:r>
        <w:r w:rsidR="005D6EFD">
          <w:rPr>
            <w:rFonts w:asciiTheme="minorHAnsi" w:eastAsiaTheme="minorEastAsia" w:hAnsiTheme="minorHAnsi" w:cstheme="minorBidi"/>
            <w:b w:val="0"/>
            <w:kern w:val="2"/>
            <w:sz w:val="21"/>
            <w:szCs w:val="22"/>
            <w:lang w:val="en-US"/>
          </w:rPr>
          <w:tab/>
        </w:r>
        <w:r w:rsidR="005D6EFD" w:rsidRPr="00DE3E14">
          <w:rPr>
            <w:rStyle w:val="af2"/>
            <w:rFonts w:cs="Arial"/>
            <w:lang w:val="en-US"/>
          </w:rPr>
          <w:t>UE can also perform subsequent LTM to the initial source cell as long as it is configured as a candidate cell.</w:t>
        </w:r>
      </w:hyperlink>
    </w:p>
    <w:p w14:paraId="35FA5033" w14:textId="7069E9A5" w:rsidR="005D6EFD" w:rsidRDefault="002F3DDB">
      <w:pPr>
        <w:pStyle w:val="TOC1"/>
        <w:rPr>
          <w:rFonts w:asciiTheme="minorHAnsi" w:eastAsiaTheme="minorEastAsia" w:hAnsiTheme="minorHAnsi" w:cstheme="minorBidi"/>
          <w:b w:val="0"/>
          <w:kern w:val="2"/>
          <w:sz w:val="21"/>
          <w:szCs w:val="22"/>
          <w:lang w:val="en-US"/>
        </w:rPr>
      </w:pPr>
      <w:hyperlink w:anchor="_Toc118470665" w:history="1">
        <w:r w:rsidR="005D6EFD" w:rsidRPr="00DE3E14">
          <w:rPr>
            <w:rStyle w:val="af2"/>
            <w:rFonts w:cs="Arial"/>
          </w:rPr>
          <w:t>Proposal 4</w:t>
        </w:r>
        <w:r w:rsidR="005D6EFD">
          <w:rPr>
            <w:rFonts w:asciiTheme="minorHAnsi" w:eastAsiaTheme="minorEastAsia" w:hAnsiTheme="minorHAnsi" w:cstheme="minorBidi"/>
            <w:b w:val="0"/>
            <w:kern w:val="2"/>
            <w:sz w:val="21"/>
            <w:szCs w:val="22"/>
            <w:lang w:val="en-US"/>
          </w:rPr>
          <w:tab/>
        </w:r>
        <w:r w:rsidR="005D6EFD" w:rsidRPr="00DE3E14">
          <w:rPr>
            <w:rStyle w:val="af2"/>
            <w:rFonts w:cs="Arial"/>
          </w:rPr>
          <w:t>Initial source cell’s configuration is stored as reference for supporting delta configuration of candidate cells.</w:t>
        </w:r>
      </w:hyperlink>
    </w:p>
    <w:p w14:paraId="4CA41D4E" w14:textId="71CEFA31" w:rsidR="000751C4" w:rsidRPr="00F31A51" w:rsidRDefault="00700D8F" w:rsidP="001131BE">
      <w:pPr>
        <w:spacing w:line="276" w:lineRule="auto"/>
        <w:rPr>
          <w:rFonts w:cs="Arial"/>
          <w:b/>
        </w:rPr>
      </w:pPr>
      <w:r w:rsidRPr="00F31A51">
        <w:rPr>
          <w:rFonts w:cs="Arial"/>
        </w:rPr>
        <w:fldChar w:fldCharType="end"/>
      </w:r>
    </w:p>
    <w:p w14:paraId="4F051892" w14:textId="77777777" w:rsidR="00A37400" w:rsidRPr="00F31A51" w:rsidRDefault="00A37400" w:rsidP="001131BE">
      <w:pPr>
        <w:pStyle w:val="1"/>
        <w:spacing w:line="276" w:lineRule="auto"/>
      </w:pPr>
      <w:bookmarkStart w:id="20" w:name="_In-sequence_SDU_delivery"/>
      <w:bookmarkStart w:id="21" w:name="_Ref189809556"/>
      <w:bookmarkStart w:id="22" w:name="_Ref174151459"/>
      <w:bookmarkStart w:id="23" w:name="_Ref450865335"/>
      <w:bookmarkEnd w:id="20"/>
      <w:r w:rsidRPr="00F31A51">
        <w:t>Reference</w:t>
      </w:r>
      <w:bookmarkEnd w:id="21"/>
      <w:bookmarkEnd w:id="22"/>
      <w:bookmarkEnd w:id="23"/>
    </w:p>
    <w:p w14:paraId="118C6DB6" w14:textId="36FC5EDA" w:rsidR="004E1E8E" w:rsidRDefault="002C7FB7" w:rsidP="001131BE">
      <w:pPr>
        <w:numPr>
          <w:ilvl w:val="0"/>
          <w:numId w:val="9"/>
        </w:numPr>
        <w:overflowPunct/>
        <w:autoSpaceDE/>
        <w:autoSpaceDN/>
        <w:adjustRightInd/>
        <w:spacing w:line="276" w:lineRule="auto"/>
        <w:jc w:val="left"/>
        <w:textAlignment w:val="auto"/>
        <w:rPr>
          <w:rFonts w:cs="Arial"/>
        </w:rPr>
      </w:pPr>
      <w:r w:rsidRPr="002C7FB7">
        <w:rPr>
          <w:rFonts w:cs="Arial"/>
        </w:rPr>
        <w:t>RP-222332</w:t>
      </w:r>
      <w:r w:rsidR="004E1E8E" w:rsidRPr="00F31A51">
        <w:rPr>
          <w:rFonts w:cs="Arial"/>
        </w:rPr>
        <w:t xml:space="preserve">  </w:t>
      </w:r>
      <w:r>
        <w:t>Further NR Mobility Enhancements</w:t>
      </w:r>
      <w:r w:rsidR="00F321B2" w:rsidRPr="00F31A51">
        <w:rPr>
          <w:rFonts w:cs="Arial"/>
        </w:rPr>
        <w:t xml:space="preserve">    </w:t>
      </w:r>
      <w:r w:rsidR="00097958" w:rsidRPr="00F31A51">
        <w:rPr>
          <w:rFonts w:cs="Arial"/>
        </w:rPr>
        <w:t>MediaTek Inc</w:t>
      </w:r>
    </w:p>
    <w:p w14:paraId="0ACFA33F" w14:textId="4AA064DF" w:rsidR="009D1282" w:rsidRDefault="009D1282" w:rsidP="001131BE">
      <w:pPr>
        <w:numPr>
          <w:ilvl w:val="0"/>
          <w:numId w:val="9"/>
        </w:numPr>
        <w:overflowPunct/>
        <w:autoSpaceDE/>
        <w:autoSpaceDN/>
        <w:adjustRightInd/>
        <w:spacing w:line="276" w:lineRule="auto"/>
        <w:jc w:val="left"/>
        <w:textAlignment w:val="auto"/>
        <w:rPr>
          <w:rFonts w:cs="Arial"/>
        </w:rPr>
      </w:pPr>
      <w:r w:rsidRPr="009D1282">
        <w:rPr>
          <w:rFonts w:cs="Arial"/>
        </w:rPr>
        <w:t>R2-2210329</w:t>
      </w:r>
      <w:r>
        <w:rPr>
          <w:rFonts w:cs="Arial"/>
        </w:rPr>
        <w:t xml:space="preserve">  </w:t>
      </w:r>
      <w:r w:rsidRPr="009D1282">
        <w:rPr>
          <w:rFonts w:cs="Arial"/>
        </w:rPr>
        <w:t>[Post119-e][048][feMob] Candidate target configurations for L1/L2 mobility</w:t>
      </w:r>
      <w:r w:rsidR="00121577">
        <w:rPr>
          <w:rFonts w:cs="Arial"/>
        </w:rPr>
        <w:t xml:space="preserve">   </w:t>
      </w:r>
      <w:r w:rsidR="00121577" w:rsidRPr="00121577">
        <w:rPr>
          <w:rFonts w:cs="Arial"/>
        </w:rPr>
        <w:t>Ericsson</w:t>
      </w:r>
    </w:p>
    <w:p w14:paraId="064A9076" w14:textId="2EF86528" w:rsidR="00F2476A" w:rsidRPr="00F31A51" w:rsidRDefault="00F2476A" w:rsidP="001131BE">
      <w:pPr>
        <w:numPr>
          <w:ilvl w:val="0"/>
          <w:numId w:val="9"/>
        </w:numPr>
        <w:overflowPunct/>
        <w:autoSpaceDE/>
        <w:autoSpaceDN/>
        <w:adjustRightInd/>
        <w:spacing w:line="276" w:lineRule="auto"/>
        <w:jc w:val="left"/>
        <w:textAlignment w:val="auto"/>
        <w:rPr>
          <w:rFonts w:cs="Arial"/>
        </w:rPr>
      </w:pPr>
      <w:r>
        <w:rPr>
          <w:rFonts w:cs="Arial" w:hint="eastAsia"/>
        </w:rPr>
        <w:t>R2-2211863</w:t>
      </w:r>
      <w:r>
        <w:rPr>
          <w:rFonts w:cs="Arial"/>
        </w:rPr>
        <w:t xml:space="preserve">  </w:t>
      </w:r>
      <w:r w:rsidRPr="00F2476A">
        <w:rPr>
          <w:rFonts w:cs="Arial"/>
        </w:rPr>
        <w:t>Open issues on dynamic switching for LTM</w:t>
      </w:r>
      <w:r>
        <w:rPr>
          <w:rFonts w:cs="Arial"/>
        </w:rPr>
        <w:t xml:space="preserve">  OPPO </w:t>
      </w:r>
    </w:p>
    <w:p w14:paraId="53599C55" w14:textId="77777777" w:rsidR="00A05C21" w:rsidRPr="004D20D1" w:rsidRDefault="00A05C21" w:rsidP="00074330">
      <w:pPr>
        <w:overflowPunct/>
        <w:autoSpaceDE/>
        <w:autoSpaceDN/>
        <w:adjustRightInd/>
        <w:spacing w:line="276" w:lineRule="auto"/>
        <w:ind w:left="420"/>
        <w:jc w:val="left"/>
        <w:textAlignment w:val="auto"/>
        <w:rPr>
          <w:rFonts w:cs="Arial"/>
        </w:rPr>
      </w:pPr>
      <w:bookmarkStart w:id="24" w:name="_GoBack"/>
      <w:bookmarkEnd w:id="24"/>
    </w:p>
    <w:sectPr w:rsidR="00A05C21" w:rsidRPr="004D20D1" w:rsidSect="008F764B">
      <w:headerReference w:type="even" r:id="rId8"/>
      <w:footerReference w:type="default"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4EB56" w14:textId="77777777" w:rsidR="002F3DDB" w:rsidRDefault="002F3DDB">
      <w:r>
        <w:separator/>
      </w:r>
    </w:p>
  </w:endnote>
  <w:endnote w:type="continuationSeparator" w:id="0">
    <w:p w14:paraId="07F0944D" w14:textId="77777777" w:rsidR="002F3DDB" w:rsidRDefault="002F3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741EEF" w:rsidRDefault="00741EEF"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6E330" w14:textId="77777777" w:rsidR="002F3DDB" w:rsidRDefault="002F3DDB">
      <w:r>
        <w:separator/>
      </w:r>
    </w:p>
  </w:footnote>
  <w:footnote w:type="continuationSeparator" w:id="0">
    <w:p w14:paraId="58591303" w14:textId="77777777" w:rsidR="002F3DDB" w:rsidRDefault="002F3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741EEF" w:rsidRDefault="00741E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F5574"/>
    <w:multiLevelType w:val="hybridMultilevel"/>
    <w:tmpl w:val="2C984AA6"/>
    <w:lvl w:ilvl="0" w:tplc="50D0BF5C">
      <w:start w:val="1"/>
      <w:numFmt w:val="decimal"/>
      <w:lvlText w:val="%1."/>
      <w:lvlJc w:val="left"/>
      <w:pPr>
        <w:tabs>
          <w:tab w:val="num" w:pos="720"/>
        </w:tabs>
        <w:ind w:left="720" w:hanging="360"/>
      </w:pPr>
    </w:lvl>
    <w:lvl w:ilvl="1" w:tplc="B8FAEFE6" w:tentative="1">
      <w:start w:val="1"/>
      <w:numFmt w:val="decimal"/>
      <w:lvlText w:val="%2."/>
      <w:lvlJc w:val="left"/>
      <w:pPr>
        <w:tabs>
          <w:tab w:val="num" w:pos="1440"/>
        </w:tabs>
        <w:ind w:left="1440" w:hanging="360"/>
      </w:pPr>
    </w:lvl>
    <w:lvl w:ilvl="2" w:tplc="0464ADC2" w:tentative="1">
      <w:start w:val="1"/>
      <w:numFmt w:val="decimal"/>
      <w:lvlText w:val="%3."/>
      <w:lvlJc w:val="left"/>
      <w:pPr>
        <w:tabs>
          <w:tab w:val="num" w:pos="2160"/>
        </w:tabs>
        <w:ind w:left="2160" w:hanging="360"/>
      </w:pPr>
    </w:lvl>
    <w:lvl w:ilvl="3" w:tplc="620E439E" w:tentative="1">
      <w:start w:val="1"/>
      <w:numFmt w:val="decimal"/>
      <w:lvlText w:val="%4."/>
      <w:lvlJc w:val="left"/>
      <w:pPr>
        <w:tabs>
          <w:tab w:val="num" w:pos="2880"/>
        </w:tabs>
        <w:ind w:left="2880" w:hanging="360"/>
      </w:pPr>
    </w:lvl>
    <w:lvl w:ilvl="4" w:tplc="6CAEA8D8" w:tentative="1">
      <w:start w:val="1"/>
      <w:numFmt w:val="decimal"/>
      <w:lvlText w:val="%5."/>
      <w:lvlJc w:val="left"/>
      <w:pPr>
        <w:tabs>
          <w:tab w:val="num" w:pos="3600"/>
        </w:tabs>
        <w:ind w:left="3600" w:hanging="360"/>
      </w:pPr>
    </w:lvl>
    <w:lvl w:ilvl="5" w:tplc="FC1EC826" w:tentative="1">
      <w:start w:val="1"/>
      <w:numFmt w:val="decimal"/>
      <w:lvlText w:val="%6."/>
      <w:lvlJc w:val="left"/>
      <w:pPr>
        <w:tabs>
          <w:tab w:val="num" w:pos="4320"/>
        </w:tabs>
        <w:ind w:left="4320" w:hanging="360"/>
      </w:pPr>
    </w:lvl>
    <w:lvl w:ilvl="6" w:tplc="D4F0798C" w:tentative="1">
      <w:start w:val="1"/>
      <w:numFmt w:val="decimal"/>
      <w:lvlText w:val="%7."/>
      <w:lvlJc w:val="left"/>
      <w:pPr>
        <w:tabs>
          <w:tab w:val="num" w:pos="5040"/>
        </w:tabs>
        <w:ind w:left="5040" w:hanging="360"/>
      </w:pPr>
    </w:lvl>
    <w:lvl w:ilvl="7" w:tplc="79CAA026" w:tentative="1">
      <w:start w:val="1"/>
      <w:numFmt w:val="decimal"/>
      <w:lvlText w:val="%8."/>
      <w:lvlJc w:val="left"/>
      <w:pPr>
        <w:tabs>
          <w:tab w:val="num" w:pos="5760"/>
        </w:tabs>
        <w:ind w:left="5760" w:hanging="360"/>
      </w:pPr>
    </w:lvl>
    <w:lvl w:ilvl="8" w:tplc="704CB0AA" w:tentative="1">
      <w:start w:val="1"/>
      <w:numFmt w:val="decimal"/>
      <w:lvlText w:val="%9."/>
      <w:lvlJc w:val="left"/>
      <w:pPr>
        <w:tabs>
          <w:tab w:val="num" w:pos="6480"/>
        </w:tabs>
        <w:ind w:left="6480"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281C6E"/>
    <w:multiLevelType w:val="hybridMultilevel"/>
    <w:tmpl w:val="A24E1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C60F78"/>
    <w:multiLevelType w:val="hybridMultilevel"/>
    <w:tmpl w:val="55700912"/>
    <w:lvl w:ilvl="0" w:tplc="6B88DB1A">
      <w:start w:val="1"/>
      <w:numFmt w:val="decimal"/>
      <w:lvlText w:val="%1."/>
      <w:lvlJc w:val="left"/>
      <w:pPr>
        <w:tabs>
          <w:tab w:val="num" w:pos="720"/>
        </w:tabs>
        <w:ind w:left="720" w:hanging="360"/>
      </w:pPr>
    </w:lvl>
    <w:lvl w:ilvl="1" w:tplc="EED27D7A" w:tentative="1">
      <w:start w:val="1"/>
      <w:numFmt w:val="decimal"/>
      <w:lvlText w:val="%2."/>
      <w:lvlJc w:val="left"/>
      <w:pPr>
        <w:tabs>
          <w:tab w:val="num" w:pos="1440"/>
        </w:tabs>
        <w:ind w:left="1440" w:hanging="360"/>
      </w:pPr>
    </w:lvl>
    <w:lvl w:ilvl="2" w:tplc="21D40D30" w:tentative="1">
      <w:start w:val="1"/>
      <w:numFmt w:val="decimal"/>
      <w:lvlText w:val="%3."/>
      <w:lvlJc w:val="left"/>
      <w:pPr>
        <w:tabs>
          <w:tab w:val="num" w:pos="2160"/>
        </w:tabs>
        <w:ind w:left="2160" w:hanging="360"/>
      </w:pPr>
    </w:lvl>
    <w:lvl w:ilvl="3" w:tplc="4E6630F8" w:tentative="1">
      <w:start w:val="1"/>
      <w:numFmt w:val="decimal"/>
      <w:lvlText w:val="%4."/>
      <w:lvlJc w:val="left"/>
      <w:pPr>
        <w:tabs>
          <w:tab w:val="num" w:pos="2880"/>
        </w:tabs>
        <w:ind w:left="2880" w:hanging="360"/>
      </w:pPr>
    </w:lvl>
    <w:lvl w:ilvl="4" w:tplc="0646249C" w:tentative="1">
      <w:start w:val="1"/>
      <w:numFmt w:val="decimal"/>
      <w:lvlText w:val="%5."/>
      <w:lvlJc w:val="left"/>
      <w:pPr>
        <w:tabs>
          <w:tab w:val="num" w:pos="3600"/>
        </w:tabs>
        <w:ind w:left="3600" w:hanging="360"/>
      </w:pPr>
    </w:lvl>
    <w:lvl w:ilvl="5" w:tplc="BF0CA96C" w:tentative="1">
      <w:start w:val="1"/>
      <w:numFmt w:val="decimal"/>
      <w:lvlText w:val="%6."/>
      <w:lvlJc w:val="left"/>
      <w:pPr>
        <w:tabs>
          <w:tab w:val="num" w:pos="4320"/>
        </w:tabs>
        <w:ind w:left="4320" w:hanging="360"/>
      </w:pPr>
    </w:lvl>
    <w:lvl w:ilvl="6" w:tplc="3ACC3268" w:tentative="1">
      <w:start w:val="1"/>
      <w:numFmt w:val="decimal"/>
      <w:lvlText w:val="%7."/>
      <w:lvlJc w:val="left"/>
      <w:pPr>
        <w:tabs>
          <w:tab w:val="num" w:pos="5040"/>
        </w:tabs>
        <w:ind w:left="5040" w:hanging="360"/>
      </w:pPr>
    </w:lvl>
    <w:lvl w:ilvl="7" w:tplc="46881B90" w:tentative="1">
      <w:start w:val="1"/>
      <w:numFmt w:val="decimal"/>
      <w:lvlText w:val="%8."/>
      <w:lvlJc w:val="left"/>
      <w:pPr>
        <w:tabs>
          <w:tab w:val="num" w:pos="5760"/>
        </w:tabs>
        <w:ind w:left="5760" w:hanging="360"/>
      </w:pPr>
    </w:lvl>
    <w:lvl w:ilvl="8" w:tplc="C2FE1BE0" w:tentative="1">
      <w:start w:val="1"/>
      <w:numFmt w:val="decimal"/>
      <w:lvlText w:val="%9."/>
      <w:lvlJc w:val="left"/>
      <w:pPr>
        <w:tabs>
          <w:tab w:val="num" w:pos="6480"/>
        </w:tabs>
        <w:ind w:left="6480" w:hanging="360"/>
      </w:pPr>
    </w:lvl>
  </w:abstractNum>
  <w:abstractNum w:abstractNumId="5" w15:restartNumberingAfterBreak="0">
    <w:nsid w:val="1BA82CCE"/>
    <w:multiLevelType w:val="hybridMultilevel"/>
    <w:tmpl w:val="22907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B1AB9"/>
    <w:multiLevelType w:val="multilevel"/>
    <w:tmpl w:val="D1124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406D14"/>
    <w:multiLevelType w:val="hybridMultilevel"/>
    <w:tmpl w:val="E21C1278"/>
    <w:lvl w:ilvl="0" w:tplc="ECB0B6F2">
      <w:start w:val="1"/>
      <w:numFmt w:val="decimal"/>
      <w:lvlText w:val="%1."/>
      <w:lvlJc w:val="left"/>
      <w:pPr>
        <w:tabs>
          <w:tab w:val="num" w:pos="720"/>
        </w:tabs>
        <w:ind w:left="720" w:hanging="360"/>
      </w:pPr>
    </w:lvl>
    <w:lvl w:ilvl="1" w:tplc="14C64A94" w:tentative="1">
      <w:start w:val="1"/>
      <w:numFmt w:val="decimal"/>
      <w:lvlText w:val="%2."/>
      <w:lvlJc w:val="left"/>
      <w:pPr>
        <w:tabs>
          <w:tab w:val="num" w:pos="1440"/>
        </w:tabs>
        <w:ind w:left="1440" w:hanging="360"/>
      </w:pPr>
    </w:lvl>
    <w:lvl w:ilvl="2" w:tplc="88B87FCC" w:tentative="1">
      <w:start w:val="1"/>
      <w:numFmt w:val="decimal"/>
      <w:lvlText w:val="%3."/>
      <w:lvlJc w:val="left"/>
      <w:pPr>
        <w:tabs>
          <w:tab w:val="num" w:pos="2160"/>
        </w:tabs>
        <w:ind w:left="2160" w:hanging="360"/>
      </w:pPr>
    </w:lvl>
    <w:lvl w:ilvl="3" w:tplc="2486969C" w:tentative="1">
      <w:start w:val="1"/>
      <w:numFmt w:val="decimal"/>
      <w:lvlText w:val="%4."/>
      <w:lvlJc w:val="left"/>
      <w:pPr>
        <w:tabs>
          <w:tab w:val="num" w:pos="2880"/>
        </w:tabs>
        <w:ind w:left="2880" w:hanging="360"/>
      </w:pPr>
    </w:lvl>
    <w:lvl w:ilvl="4" w:tplc="846A4736" w:tentative="1">
      <w:start w:val="1"/>
      <w:numFmt w:val="decimal"/>
      <w:lvlText w:val="%5."/>
      <w:lvlJc w:val="left"/>
      <w:pPr>
        <w:tabs>
          <w:tab w:val="num" w:pos="3600"/>
        </w:tabs>
        <w:ind w:left="3600" w:hanging="360"/>
      </w:pPr>
    </w:lvl>
    <w:lvl w:ilvl="5" w:tplc="4490963E" w:tentative="1">
      <w:start w:val="1"/>
      <w:numFmt w:val="decimal"/>
      <w:lvlText w:val="%6."/>
      <w:lvlJc w:val="left"/>
      <w:pPr>
        <w:tabs>
          <w:tab w:val="num" w:pos="4320"/>
        </w:tabs>
        <w:ind w:left="4320" w:hanging="360"/>
      </w:pPr>
    </w:lvl>
    <w:lvl w:ilvl="6" w:tplc="61AA4AC6" w:tentative="1">
      <w:start w:val="1"/>
      <w:numFmt w:val="decimal"/>
      <w:lvlText w:val="%7."/>
      <w:lvlJc w:val="left"/>
      <w:pPr>
        <w:tabs>
          <w:tab w:val="num" w:pos="5040"/>
        </w:tabs>
        <w:ind w:left="5040" w:hanging="360"/>
      </w:pPr>
    </w:lvl>
    <w:lvl w:ilvl="7" w:tplc="DB9EFA16" w:tentative="1">
      <w:start w:val="1"/>
      <w:numFmt w:val="decimal"/>
      <w:lvlText w:val="%8."/>
      <w:lvlJc w:val="left"/>
      <w:pPr>
        <w:tabs>
          <w:tab w:val="num" w:pos="5760"/>
        </w:tabs>
        <w:ind w:left="5760" w:hanging="360"/>
      </w:pPr>
    </w:lvl>
    <w:lvl w:ilvl="8" w:tplc="DCDC8E18" w:tentative="1">
      <w:start w:val="1"/>
      <w:numFmt w:val="decimal"/>
      <w:lvlText w:val="%9."/>
      <w:lvlJc w:val="left"/>
      <w:pPr>
        <w:tabs>
          <w:tab w:val="num" w:pos="6480"/>
        </w:tabs>
        <w:ind w:left="6480" w:hanging="36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6E21"/>
    <w:multiLevelType w:val="hybridMultilevel"/>
    <w:tmpl w:val="88E64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F8672D"/>
    <w:multiLevelType w:val="hybridMultilevel"/>
    <w:tmpl w:val="F30469D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15:restartNumberingAfterBreak="0">
    <w:nsid w:val="387F1555"/>
    <w:multiLevelType w:val="hybridMultilevel"/>
    <w:tmpl w:val="11F071A6"/>
    <w:lvl w:ilvl="0" w:tplc="8542B2DA">
      <w:start w:val="1"/>
      <w:numFmt w:val="bullet"/>
      <w:lvlText w:val="•"/>
      <w:lvlJc w:val="left"/>
      <w:pPr>
        <w:tabs>
          <w:tab w:val="num" w:pos="720"/>
        </w:tabs>
        <w:ind w:left="720" w:hanging="360"/>
      </w:pPr>
      <w:rPr>
        <w:rFonts w:ascii="Arial" w:hAnsi="Arial" w:hint="default"/>
      </w:rPr>
    </w:lvl>
    <w:lvl w:ilvl="1" w:tplc="C7467506" w:tentative="1">
      <w:start w:val="1"/>
      <w:numFmt w:val="bullet"/>
      <w:lvlText w:val="•"/>
      <w:lvlJc w:val="left"/>
      <w:pPr>
        <w:tabs>
          <w:tab w:val="num" w:pos="1440"/>
        </w:tabs>
        <w:ind w:left="1440" w:hanging="360"/>
      </w:pPr>
      <w:rPr>
        <w:rFonts w:ascii="Arial" w:hAnsi="Arial" w:hint="default"/>
      </w:rPr>
    </w:lvl>
    <w:lvl w:ilvl="2" w:tplc="F224E798" w:tentative="1">
      <w:start w:val="1"/>
      <w:numFmt w:val="bullet"/>
      <w:lvlText w:val="•"/>
      <w:lvlJc w:val="left"/>
      <w:pPr>
        <w:tabs>
          <w:tab w:val="num" w:pos="2160"/>
        </w:tabs>
        <w:ind w:left="2160" w:hanging="360"/>
      </w:pPr>
      <w:rPr>
        <w:rFonts w:ascii="Arial" w:hAnsi="Arial" w:hint="default"/>
      </w:rPr>
    </w:lvl>
    <w:lvl w:ilvl="3" w:tplc="3604BA72" w:tentative="1">
      <w:start w:val="1"/>
      <w:numFmt w:val="bullet"/>
      <w:lvlText w:val="•"/>
      <w:lvlJc w:val="left"/>
      <w:pPr>
        <w:tabs>
          <w:tab w:val="num" w:pos="2880"/>
        </w:tabs>
        <w:ind w:left="2880" w:hanging="360"/>
      </w:pPr>
      <w:rPr>
        <w:rFonts w:ascii="Arial" w:hAnsi="Arial" w:hint="default"/>
      </w:rPr>
    </w:lvl>
    <w:lvl w:ilvl="4" w:tplc="1F7E783C" w:tentative="1">
      <w:start w:val="1"/>
      <w:numFmt w:val="bullet"/>
      <w:lvlText w:val="•"/>
      <w:lvlJc w:val="left"/>
      <w:pPr>
        <w:tabs>
          <w:tab w:val="num" w:pos="3600"/>
        </w:tabs>
        <w:ind w:left="3600" w:hanging="360"/>
      </w:pPr>
      <w:rPr>
        <w:rFonts w:ascii="Arial" w:hAnsi="Arial" w:hint="default"/>
      </w:rPr>
    </w:lvl>
    <w:lvl w:ilvl="5" w:tplc="1C36B476" w:tentative="1">
      <w:start w:val="1"/>
      <w:numFmt w:val="bullet"/>
      <w:lvlText w:val="•"/>
      <w:lvlJc w:val="left"/>
      <w:pPr>
        <w:tabs>
          <w:tab w:val="num" w:pos="4320"/>
        </w:tabs>
        <w:ind w:left="4320" w:hanging="360"/>
      </w:pPr>
      <w:rPr>
        <w:rFonts w:ascii="Arial" w:hAnsi="Arial" w:hint="default"/>
      </w:rPr>
    </w:lvl>
    <w:lvl w:ilvl="6" w:tplc="90A8125E" w:tentative="1">
      <w:start w:val="1"/>
      <w:numFmt w:val="bullet"/>
      <w:lvlText w:val="•"/>
      <w:lvlJc w:val="left"/>
      <w:pPr>
        <w:tabs>
          <w:tab w:val="num" w:pos="5040"/>
        </w:tabs>
        <w:ind w:left="5040" w:hanging="360"/>
      </w:pPr>
      <w:rPr>
        <w:rFonts w:ascii="Arial" w:hAnsi="Arial" w:hint="default"/>
      </w:rPr>
    </w:lvl>
    <w:lvl w:ilvl="7" w:tplc="F20C7ABC" w:tentative="1">
      <w:start w:val="1"/>
      <w:numFmt w:val="bullet"/>
      <w:lvlText w:val="•"/>
      <w:lvlJc w:val="left"/>
      <w:pPr>
        <w:tabs>
          <w:tab w:val="num" w:pos="5760"/>
        </w:tabs>
        <w:ind w:left="5760" w:hanging="360"/>
      </w:pPr>
      <w:rPr>
        <w:rFonts w:ascii="Arial" w:hAnsi="Arial" w:hint="default"/>
      </w:rPr>
    </w:lvl>
    <w:lvl w:ilvl="8" w:tplc="E9C85E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0A2AE3"/>
    <w:multiLevelType w:val="hybridMultilevel"/>
    <w:tmpl w:val="F1B65F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B50494"/>
    <w:multiLevelType w:val="hybridMultilevel"/>
    <w:tmpl w:val="A27E3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8B0EA0"/>
    <w:multiLevelType w:val="hybridMultilevel"/>
    <w:tmpl w:val="6AD03250"/>
    <w:lvl w:ilvl="0" w:tplc="8098BE36">
      <w:start w:val="1"/>
      <w:numFmt w:val="bullet"/>
      <w:lvlText w:val="•"/>
      <w:lvlJc w:val="left"/>
      <w:pPr>
        <w:tabs>
          <w:tab w:val="num" w:pos="720"/>
        </w:tabs>
        <w:ind w:left="720" w:hanging="360"/>
      </w:pPr>
      <w:rPr>
        <w:rFonts w:ascii="Arial" w:hAnsi="Arial" w:hint="default"/>
      </w:rPr>
    </w:lvl>
    <w:lvl w:ilvl="1" w:tplc="C7E2BFAC" w:tentative="1">
      <w:start w:val="1"/>
      <w:numFmt w:val="bullet"/>
      <w:lvlText w:val="•"/>
      <w:lvlJc w:val="left"/>
      <w:pPr>
        <w:tabs>
          <w:tab w:val="num" w:pos="1440"/>
        </w:tabs>
        <w:ind w:left="1440" w:hanging="360"/>
      </w:pPr>
      <w:rPr>
        <w:rFonts w:ascii="Arial" w:hAnsi="Arial" w:hint="default"/>
      </w:rPr>
    </w:lvl>
    <w:lvl w:ilvl="2" w:tplc="B560B764" w:tentative="1">
      <w:start w:val="1"/>
      <w:numFmt w:val="bullet"/>
      <w:lvlText w:val="•"/>
      <w:lvlJc w:val="left"/>
      <w:pPr>
        <w:tabs>
          <w:tab w:val="num" w:pos="2160"/>
        </w:tabs>
        <w:ind w:left="2160" w:hanging="360"/>
      </w:pPr>
      <w:rPr>
        <w:rFonts w:ascii="Arial" w:hAnsi="Arial" w:hint="default"/>
      </w:rPr>
    </w:lvl>
    <w:lvl w:ilvl="3" w:tplc="28B2B6A0" w:tentative="1">
      <w:start w:val="1"/>
      <w:numFmt w:val="bullet"/>
      <w:lvlText w:val="•"/>
      <w:lvlJc w:val="left"/>
      <w:pPr>
        <w:tabs>
          <w:tab w:val="num" w:pos="2880"/>
        </w:tabs>
        <w:ind w:left="2880" w:hanging="360"/>
      </w:pPr>
      <w:rPr>
        <w:rFonts w:ascii="Arial" w:hAnsi="Arial" w:hint="default"/>
      </w:rPr>
    </w:lvl>
    <w:lvl w:ilvl="4" w:tplc="A69E718C" w:tentative="1">
      <w:start w:val="1"/>
      <w:numFmt w:val="bullet"/>
      <w:lvlText w:val="•"/>
      <w:lvlJc w:val="left"/>
      <w:pPr>
        <w:tabs>
          <w:tab w:val="num" w:pos="3600"/>
        </w:tabs>
        <w:ind w:left="3600" w:hanging="360"/>
      </w:pPr>
      <w:rPr>
        <w:rFonts w:ascii="Arial" w:hAnsi="Arial" w:hint="default"/>
      </w:rPr>
    </w:lvl>
    <w:lvl w:ilvl="5" w:tplc="8B84F2B2" w:tentative="1">
      <w:start w:val="1"/>
      <w:numFmt w:val="bullet"/>
      <w:lvlText w:val="•"/>
      <w:lvlJc w:val="left"/>
      <w:pPr>
        <w:tabs>
          <w:tab w:val="num" w:pos="4320"/>
        </w:tabs>
        <w:ind w:left="4320" w:hanging="360"/>
      </w:pPr>
      <w:rPr>
        <w:rFonts w:ascii="Arial" w:hAnsi="Arial" w:hint="default"/>
      </w:rPr>
    </w:lvl>
    <w:lvl w:ilvl="6" w:tplc="40AC906E" w:tentative="1">
      <w:start w:val="1"/>
      <w:numFmt w:val="bullet"/>
      <w:lvlText w:val="•"/>
      <w:lvlJc w:val="left"/>
      <w:pPr>
        <w:tabs>
          <w:tab w:val="num" w:pos="5040"/>
        </w:tabs>
        <w:ind w:left="5040" w:hanging="360"/>
      </w:pPr>
      <w:rPr>
        <w:rFonts w:ascii="Arial" w:hAnsi="Arial" w:hint="default"/>
      </w:rPr>
    </w:lvl>
    <w:lvl w:ilvl="7" w:tplc="5740BA08" w:tentative="1">
      <w:start w:val="1"/>
      <w:numFmt w:val="bullet"/>
      <w:lvlText w:val="•"/>
      <w:lvlJc w:val="left"/>
      <w:pPr>
        <w:tabs>
          <w:tab w:val="num" w:pos="5760"/>
        </w:tabs>
        <w:ind w:left="5760" w:hanging="360"/>
      </w:pPr>
      <w:rPr>
        <w:rFonts w:ascii="Arial" w:hAnsi="Arial" w:hint="default"/>
      </w:rPr>
    </w:lvl>
    <w:lvl w:ilvl="8" w:tplc="3FDC26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237EB"/>
    <w:multiLevelType w:val="hybridMultilevel"/>
    <w:tmpl w:val="E4227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2A64F4"/>
    <w:multiLevelType w:val="hybridMultilevel"/>
    <w:tmpl w:val="8604B7E8"/>
    <w:lvl w:ilvl="0" w:tplc="E65E4C56">
      <w:start w:val="1"/>
      <w:numFmt w:val="bullet"/>
      <w:lvlText w:val="•"/>
      <w:lvlJc w:val="left"/>
      <w:pPr>
        <w:tabs>
          <w:tab w:val="num" w:pos="720"/>
        </w:tabs>
        <w:ind w:left="720" w:hanging="360"/>
      </w:pPr>
      <w:rPr>
        <w:rFonts w:ascii="Arial" w:hAnsi="Arial" w:hint="default"/>
      </w:rPr>
    </w:lvl>
    <w:lvl w:ilvl="1" w:tplc="EB34C50A" w:tentative="1">
      <w:start w:val="1"/>
      <w:numFmt w:val="bullet"/>
      <w:lvlText w:val="•"/>
      <w:lvlJc w:val="left"/>
      <w:pPr>
        <w:tabs>
          <w:tab w:val="num" w:pos="1440"/>
        </w:tabs>
        <w:ind w:left="1440" w:hanging="360"/>
      </w:pPr>
      <w:rPr>
        <w:rFonts w:ascii="Arial" w:hAnsi="Arial" w:hint="default"/>
      </w:rPr>
    </w:lvl>
    <w:lvl w:ilvl="2" w:tplc="8640DE04" w:tentative="1">
      <w:start w:val="1"/>
      <w:numFmt w:val="bullet"/>
      <w:lvlText w:val="•"/>
      <w:lvlJc w:val="left"/>
      <w:pPr>
        <w:tabs>
          <w:tab w:val="num" w:pos="2160"/>
        </w:tabs>
        <w:ind w:left="2160" w:hanging="360"/>
      </w:pPr>
      <w:rPr>
        <w:rFonts w:ascii="Arial" w:hAnsi="Arial" w:hint="default"/>
      </w:rPr>
    </w:lvl>
    <w:lvl w:ilvl="3" w:tplc="C6367B48" w:tentative="1">
      <w:start w:val="1"/>
      <w:numFmt w:val="bullet"/>
      <w:lvlText w:val="•"/>
      <w:lvlJc w:val="left"/>
      <w:pPr>
        <w:tabs>
          <w:tab w:val="num" w:pos="2880"/>
        </w:tabs>
        <w:ind w:left="2880" w:hanging="360"/>
      </w:pPr>
      <w:rPr>
        <w:rFonts w:ascii="Arial" w:hAnsi="Arial" w:hint="default"/>
      </w:rPr>
    </w:lvl>
    <w:lvl w:ilvl="4" w:tplc="E95E7FC2" w:tentative="1">
      <w:start w:val="1"/>
      <w:numFmt w:val="bullet"/>
      <w:lvlText w:val="•"/>
      <w:lvlJc w:val="left"/>
      <w:pPr>
        <w:tabs>
          <w:tab w:val="num" w:pos="3600"/>
        </w:tabs>
        <w:ind w:left="3600" w:hanging="360"/>
      </w:pPr>
      <w:rPr>
        <w:rFonts w:ascii="Arial" w:hAnsi="Arial" w:hint="default"/>
      </w:rPr>
    </w:lvl>
    <w:lvl w:ilvl="5" w:tplc="D184597A" w:tentative="1">
      <w:start w:val="1"/>
      <w:numFmt w:val="bullet"/>
      <w:lvlText w:val="•"/>
      <w:lvlJc w:val="left"/>
      <w:pPr>
        <w:tabs>
          <w:tab w:val="num" w:pos="4320"/>
        </w:tabs>
        <w:ind w:left="4320" w:hanging="360"/>
      </w:pPr>
      <w:rPr>
        <w:rFonts w:ascii="Arial" w:hAnsi="Arial" w:hint="default"/>
      </w:rPr>
    </w:lvl>
    <w:lvl w:ilvl="6" w:tplc="140218B2" w:tentative="1">
      <w:start w:val="1"/>
      <w:numFmt w:val="bullet"/>
      <w:lvlText w:val="•"/>
      <w:lvlJc w:val="left"/>
      <w:pPr>
        <w:tabs>
          <w:tab w:val="num" w:pos="5040"/>
        </w:tabs>
        <w:ind w:left="5040" w:hanging="360"/>
      </w:pPr>
      <w:rPr>
        <w:rFonts w:ascii="Arial" w:hAnsi="Arial" w:hint="default"/>
      </w:rPr>
    </w:lvl>
    <w:lvl w:ilvl="7" w:tplc="AB7A095C" w:tentative="1">
      <w:start w:val="1"/>
      <w:numFmt w:val="bullet"/>
      <w:lvlText w:val="•"/>
      <w:lvlJc w:val="left"/>
      <w:pPr>
        <w:tabs>
          <w:tab w:val="num" w:pos="5760"/>
        </w:tabs>
        <w:ind w:left="5760" w:hanging="360"/>
      </w:pPr>
      <w:rPr>
        <w:rFonts w:ascii="Arial" w:hAnsi="Arial" w:hint="default"/>
      </w:rPr>
    </w:lvl>
    <w:lvl w:ilvl="8" w:tplc="5A106C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321028"/>
    <w:multiLevelType w:val="hybridMultilevel"/>
    <w:tmpl w:val="8FC04EE8"/>
    <w:lvl w:ilvl="0" w:tplc="83F25754">
      <w:start w:val="1"/>
      <w:numFmt w:val="lowerLetter"/>
      <w:lvlText w:val="%1."/>
      <w:lvlJc w:val="left"/>
      <w:pPr>
        <w:ind w:left="1619" w:hanging="360"/>
      </w:pPr>
      <w:rPr>
        <w:rFonts w:hint="default"/>
      </w:r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9" w15:restartNumberingAfterBreak="0">
    <w:nsid w:val="71604B22"/>
    <w:multiLevelType w:val="hybridMultilevel"/>
    <w:tmpl w:val="C6F06646"/>
    <w:lvl w:ilvl="0" w:tplc="B0E49CD2">
      <w:start w:val="1"/>
      <w:numFmt w:val="lowerLetter"/>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15"/>
  </w:num>
  <w:num w:numId="4">
    <w:abstractNumId w:val="8"/>
  </w:num>
  <w:num w:numId="5">
    <w:abstractNumId w:val="22"/>
  </w:num>
  <w:num w:numId="6">
    <w:abstractNumId w:val="9"/>
  </w:num>
  <w:num w:numId="7">
    <w:abstractNumId w:val="20"/>
  </w:num>
  <w:num w:numId="8">
    <w:abstractNumId w:val="30"/>
  </w:num>
  <w:num w:numId="9">
    <w:abstractNumId w:val="19"/>
  </w:num>
  <w:num w:numId="10">
    <w:abstractNumId w:val="21"/>
  </w:num>
  <w:num w:numId="11">
    <w:abstractNumId w:val="3"/>
  </w:num>
  <w:num w:numId="12">
    <w:abstractNumId w:val="24"/>
  </w:num>
  <w:num w:numId="13">
    <w:abstractNumId w:val="5"/>
  </w:num>
  <w:num w:numId="14">
    <w:abstractNumId w:val="12"/>
  </w:num>
  <w:num w:numId="15">
    <w:abstractNumId w:val="10"/>
  </w:num>
  <w:num w:numId="16">
    <w:abstractNumId w:val="2"/>
  </w:num>
  <w:num w:numId="17">
    <w:abstractNumId w:val="16"/>
  </w:num>
  <w:num w:numId="18">
    <w:abstractNumId w:val="17"/>
  </w:num>
  <w:num w:numId="19">
    <w:abstractNumId w:val="23"/>
  </w:num>
  <w:num w:numId="20">
    <w:abstractNumId w:val="20"/>
  </w:num>
  <w:num w:numId="21">
    <w:abstractNumId w:val="6"/>
  </w:num>
  <w:num w:numId="22">
    <w:abstractNumId w:val="27"/>
  </w:num>
  <w:num w:numId="23">
    <w:abstractNumId w:val="26"/>
  </w:num>
  <w:num w:numId="24">
    <w:abstractNumId w:val="27"/>
  </w:num>
  <w:num w:numId="25">
    <w:abstractNumId w:val="25"/>
  </w:num>
  <w:num w:numId="26">
    <w:abstractNumId w:val="13"/>
  </w:num>
  <w:num w:numId="27">
    <w:abstractNumId w:val="18"/>
  </w:num>
  <w:num w:numId="28">
    <w:abstractNumId w:val="28"/>
  </w:num>
  <w:num w:numId="29">
    <w:abstractNumId w:val="27"/>
  </w:num>
  <w:num w:numId="30">
    <w:abstractNumId w:val="29"/>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0"/>
  </w:num>
  <w:num w:numId="39">
    <w:abstractNumId w:val="7"/>
  </w:num>
  <w:num w:numId="40">
    <w:abstractNumId w:val="11"/>
  </w:num>
  <w:num w:numId="41">
    <w:abstractNumId w:val="14"/>
  </w:num>
  <w:num w:numId="42">
    <w:abstractNumId w:val="4"/>
  </w:num>
  <w:num w:numId="43">
    <w:abstractNumId w:val="1"/>
  </w:num>
  <w:num w:numId="44">
    <w:abstractNumId w:val="14"/>
  </w:num>
  <w:num w:numId="4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E61"/>
    <w:rsid w:val="000013AA"/>
    <w:rsid w:val="00002125"/>
    <w:rsid w:val="00002A37"/>
    <w:rsid w:val="00003D30"/>
    <w:rsid w:val="0000446D"/>
    <w:rsid w:val="000046E3"/>
    <w:rsid w:val="0000544E"/>
    <w:rsid w:val="00006446"/>
    <w:rsid w:val="00006896"/>
    <w:rsid w:val="00007686"/>
    <w:rsid w:val="00007CDC"/>
    <w:rsid w:val="000109FA"/>
    <w:rsid w:val="00011006"/>
    <w:rsid w:val="000112BC"/>
    <w:rsid w:val="00011B28"/>
    <w:rsid w:val="00011C6E"/>
    <w:rsid w:val="000125D9"/>
    <w:rsid w:val="000155B4"/>
    <w:rsid w:val="00015D15"/>
    <w:rsid w:val="00015D72"/>
    <w:rsid w:val="00017986"/>
    <w:rsid w:val="000203DC"/>
    <w:rsid w:val="00020424"/>
    <w:rsid w:val="00020A64"/>
    <w:rsid w:val="00020C31"/>
    <w:rsid w:val="00020FF0"/>
    <w:rsid w:val="000214EB"/>
    <w:rsid w:val="0002186F"/>
    <w:rsid w:val="000218EC"/>
    <w:rsid w:val="00022108"/>
    <w:rsid w:val="000229AA"/>
    <w:rsid w:val="00023FEE"/>
    <w:rsid w:val="00025121"/>
    <w:rsid w:val="00025440"/>
    <w:rsid w:val="0002564D"/>
    <w:rsid w:val="00025ECA"/>
    <w:rsid w:val="000264FF"/>
    <w:rsid w:val="00032263"/>
    <w:rsid w:val="0003231E"/>
    <w:rsid w:val="000325B8"/>
    <w:rsid w:val="00033893"/>
    <w:rsid w:val="00034C15"/>
    <w:rsid w:val="00034CD1"/>
    <w:rsid w:val="00034CD6"/>
    <w:rsid w:val="000354AF"/>
    <w:rsid w:val="0003688D"/>
    <w:rsid w:val="00036A13"/>
    <w:rsid w:val="00036BA1"/>
    <w:rsid w:val="0003736D"/>
    <w:rsid w:val="00037782"/>
    <w:rsid w:val="00037D60"/>
    <w:rsid w:val="00040303"/>
    <w:rsid w:val="000407A2"/>
    <w:rsid w:val="00040B41"/>
    <w:rsid w:val="00042105"/>
    <w:rsid w:val="000422E2"/>
    <w:rsid w:val="00042F22"/>
    <w:rsid w:val="00043839"/>
    <w:rsid w:val="00043A3B"/>
    <w:rsid w:val="000444EF"/>
    <w:rsid w:val="000450B3"/>
    <w:rsid w:val="000451F0"/>
    <w:rsid w:val="000451F4"/>
    <w:rsid w:val="000459A2"/>
    <w:rsid w:val="000460BB"/>
    <w:rsid w:val="00046743"/>
    <w:rsid w:val="00046D18"/>
    <w:rsid w:val="0004702D"/>
    <w:rsid w:val="00047360"/>
    <w:rsid w:val="000478BA"/>
    <w:rsid w:val="00047C28"/>
    <w:rsid w:val="00047E9E"/>
    <w:rsid w:val="0005039D"/>
    <w:rsid w:val="00050478"/>
    <w:rsid w:val="00052247"/>
    <w:rsid w:val="00052A07"/>
    <w:rsid w:val="00053143"/>
    <w:rsid w:val="000534E3"/>
    <w:rsid w:val="00053A3E"/>
    <w:rsid w:val="00053A5E"/>
    <w:rsid w:val="00054120"/>
    <w:rsid w:val="00054D4A"/>
    <w:rsid w:val="000559BF"/>
    <w:rsid w:val="0005606A"/>
    <w:rsid w:val="000560C4"/>
    <w:rsid w:val="0005659E"/>
    <w:rsid w:val="00057117"/>
    <w:rsid w:val="00057548"/>
    <w:rsid w:val="00057AF1"/>
    <w:rsid w:val="00057D79"/>
    <w:rsid w:val="00060EC2"/>
    <w:rsid w:val="00060ED6"/>
    <w:rsid w:val="0006128F"/>
    <w:rsid w:val="00061295"/>
    <w:rsid w:val="000616E7"/>
    <w:rsid w:val="00062C27"/>
    <w:rsid w:val="00063CA8"/>
    <w:rsid w:val="0006487E"/>
    <w:rsid w:val="00065DB8"/>
    <w:rsid w:val="00065E1A"/>
    <w:rsid w:val="0006638F"/>
    <w:rsid w:val="000668A7"/>
    <w:rsid w:val="00067691"/>
    <w:rsid w:val="00070178"/>
    <w:rsid w:val="000704B9"/>
    <w:rsid w:val="000721C1"/>
    <w:rsid w:val="00073B81"/>
    <w:rsid w:val="0007426B"/>
    <w:rsid w:val="00074330"/>
    <w:rsid w:val="000743BD"/>
    <w:rsid w:val="00074A26"/>
    <w:rsid w:val="00074A9F"/>
    <w:rsid w:val="000751C4"/>
    <w:rsid w:val="00076189"/>
    <w:rsid w:val="0007620B"/>
    <w:rsid w:val="00076D87"/>
    <w:rsid w:val="0007797F"/>
    <w:rsid w:val="00077E5F"/>
    <w:rsid w:val="00080090"/>
    <w:rsid w:val="0008036A"/>
    <w:rsid w:val="0008052B"/>
    <w:rsid w:val="00080B1B"/>
    <w:rsid w:val="00081AE6"/>
    <w:rsid w:val="000823E3"/>
    <w:rsid w:val="000827F0"/>
    <w:rsid w:val="000828E8"/>
    <w:rsid w:val="00084B56"/>
    <w:rsid w:val="00085060"/>
    <w:rsid w:val="00085510"/>
    <w:rsid w:val="000855EB"/>
    <w:rsid w:val="00085B52"/>
    <w:rsid w:val="000866DB"/>
    <w:rsid w:val="000866F2"/>
    <w:rsid w:val="00086A9C"/>
    <w:rsid w:val="0009009F"/>
    <w:rsid w:val="00090366"/>
    <w:rsid w:val="0009064F"/>
    <w:rsid w:val="000909D2"/>
    <w:rsid w:val="00091557"/>
    <w:rsid w:val="00091D35"/>
    <w:rsid w:val="000924C1"/>
    <w:rsid w:val="000924F0"/>
    <w:rsid w:val="00093474"/>
    <w:rsid w:val="000934A5"/>
    <w:rsid w:val="000936DF"/>
    <w:rsid w:val="0009493B"/>
    <w:rsid w:val="00094D3D"/>
    <w:rsid w:val="000950B5"/>
    <w:rsid w:val="0009510F"/>
    <w:rsid w:val="00095F26"/>
    <w:rsid w:val="0009621A"/>
    <w:rsid w:val="000965AC"/>
    <w:rsid w:val="00097958"/>
    <w:rsid w:val="000A0E1C"/>
    <w:rsid w:val="000A1B7B"/>
    <w:rsid w:val="000A2681"/>
    <w:rsid w:val="000A27F4"/>
    <w:rsid w:val="000A49A2"/>
    <w:rsid w:val="000A4FD0"/>
    <w:rsid w:val="000A56F2"/>
    <w:rsid w:val="000A6329"/>
    <w:rsid w:val="000A7E66"/>
    <w:rsid w:val="000B15CD"/>
    <w:rsid w:val="000B190F"/>
    <w:rsid w:val="000B1999"/>
    <w:rsid w:val="000B1CCD"/>
    <w:rsid w:val="000B1DA2"/>
    <w:rsid w:val="000B2719"/>
    <w:rsid w:val="000B2ADE"/>
    <w:rsid w:val="000B3971"/>
    <w:rsid w:val="000B3A8F"/>
    <w:rsid w:val="000B3B7A"/>
    <w:rsid w:val="000B4AB9"/>
    <w:rsid w:val="000B4D03"/>
    <w:rsid w:val="000B5785"/>
    <w:rsid w:val="000B58C3"/>
    <w:rsid w:val="000B61E9"/>
    <w:rsid w:val="000B687D"/>
    <w:rsid w:val="000B6C12"/>
    <w:rsid w:val="000C0DD0"/>
    <w:rsid w:val="000C165A"/>
    <w:rsid w:val="000C2E19"/>
    <w:rsid w:val="000C3034"/>
    <w:rsid w:val="000C3BA5"/>
    <w:rsid w:val="000C4002"/>
    <w:rsid w:val="000C4617"/>
    <w:rsid w:val="000C4EFC"/>
    <w:rsid w:val="000C52EF"/>
    <w:rsid w:val="000C5855"/>
    <w:rsid w:val="000C5E25"/>
    <w:rsid w:val="000C66FC"/>
    <w:rsid w:val="000C680B"/>
    <w:rsid w:val="000C681D"/>
    <w:rsid w:val="000C69CA"/>
    <w:rsid w:val="000C7791"/>
    <w:rsid w:val="000C7BAD"/>
    <w:rsid w:val="000C7D43"/>
    <w:rsid w:val="000D0D07"/>
    <w:rsid w:val="000D378C"/>
    <w:rsid w:val="000D3FD1"/>
    <w:rsid w:val="000D4797"/>
    <w:rsid w:val="000D4BB9"/>
    <w:rsid w:val="000D526B"/>
    <w:rsid w:val="000D54B9"/>
    <w:rsid w:val="000D7C27"/>
    <w:rsid w:val="000E0527"/>
    <w:rsid w:val="000E1E37"/>
    <w:rsid w:val="000E1E92"/>
    <w:rsid w:val="000E262C"/>
    <w:rsid w:val="000E2E3D"/>
    <w:rsid w:val="000E3153"/>
    <w:rsid w:val="000E35AA"/>
    <w:rsid w:val="000E452C"/>
    <w:rsid w:val="000E54C1"/>
    <w:rsid w:val="000E5F5E"/>
    <w:rsid w:val="000E6F94"/>
    <w:rsid w:val="000E7CEE"/>
    <w:rsid w:val="000F0426"/>
    <w:rsid w:val="000F0440"/>
    <w:rsid w:val="000F06D6"/>
    <w:rsid w:val="000F0EB1"/>
    <w:rsid w:val="000F1106"/>
    <w:rsid w:val="000F16E0"/>
    <w:rsid w:val="000F21D0"/>
    <w:rsid w:val="000F25A1"/>
    <w:rsid w:val="000F38C9"/>
    <w:rsid w:val="000F3BE9"/>
    <w:rsid w:val="000F3F6C"/>
    <w:rsid w:val="000F41D9"/>
    <w:rsid w:val="000F4D51"/>
    <w:rsid w:val="000F4F4B"/>
    <w:rsid w:val="000F5EAE"/>
    <w:rsid w:val="000F63A4"/>
    <w:rsid w:val="000F6432"/>
    <w:rsid w:val="000F686B"/>
    <w:rsid w:val="000F6DF3"/>
    <w:rsid w:val="000F7678"/>
    <w:rsid w:val="001005FF"/>
    <w:rsid w:val="0010078B"/>
    <w:rsid w:val="001008E4"/>
    <w:rsid w:val="00100B27"/>
    <w:rsid w:val="00102091"/>
    <w:rsid w:val="0010441A"/>
    <w:rsid w:val="001062FB"/>
    <w:rsid w:val="001063E6"/>
    <w:rsid w:val="00106E59"/>
    <w:rsid w:val="00110591"/>
    <w:rsid w:val="0011086C"/>
    <w:rsid w:val="001110A6"/>
    <w:rsid w:val="00111EB5"/>
    <w:rsid w:val="001124AB"/>
    <w:rsid w:val="001129A9"/>
    <w:rsid w:val="001131BE"/>
    <w:rsid w:val="00113CF4"/>
    <w:rsid w:val="00113FAC"/>
    <w:rsid w:val="00114144"/>
    <w:rsid w:val="00114A7A"/>
    <w:rsid w:val="00114DCB"/>
    <w:rsid w:val="001153EA"/>
    <w:rsid w:val="00115643"/>
    <w:rsid w:val="001158A9"/>
    <w:rsid w:val="00115B58"/>
    <w:rsid w:val="00115D27"/>
    <w:rsid w:val="00115E43"/>
    <w:rsid w:val="00115E6E"/>
    <w:rsid w:val="00116765"/>
    <w:rsid w:val="00116B2D"/>
    <w:rsid w:val="00117AD4"/>
    <w:rsid w:val="00120E32"/>
    <w:rsid w:val="001210C0"/>
    <w:rsid w:val="00121577"/>
    <w:rsid w:val="001219F5"/>
    <w:rsid w:val="00121A20"/>
    <w:rsid w:val="0012290A"/>
    <w:rsid w:val="0012377F"/>
    <w:rsid w:val="001240EC"/>
    <w:rsid w:val="00124314"/>
    <w:rsid w:val="00124DEB"/>
    <w:rsid w:val="001259D5"/>
    <w:rsid w:val="00126627"/>
    <w:rsid w:val="00126B4A"/>
    <w:rsid w:val="0013223A"/>
    <w:rsid w:val="00132BFA"/>
    <w:rsid w:val="00132FD0"/>
    <w:rsid w:val="00133389"/>
    <w:rsid w:val="0013347A"/>
    <w:rsid w:val="001344C0"/>
    <w:rsid w:val="001346FA"/>
    <w:rsid w:val="00135252"/>
    <w:rsid w:val="0013558C"/>
    <w:rsid w:val="00136B2C"/>
    <w:rsid w:val="00137A60"/>
    <w:rsid w:val="00137AB5"/>
    <w:rsid w:val="00137F0B"/>
    <w:rsid w:val="00140006"/>
    <w:rsid w:val="001408F0"/>
    <w:rsid w:val="00141188"/>
    <w:rsid w:val="00141434"/>
    <w:rsid w:val="00143FC8"/>
    <w:rsid w:val="00143FCA"/>
    <w:rsid w:val="00144CFB"/>
    <w:rsid w:val="00144EC0"/>
    <w:rsid w:val="001456EB"/>
    <w:rsid w:val="00146C0C"/>
    <w:rsid w:val="001500BC"/>
    <w:rsid w:val="00150B09"/>
    <w:rsid w:val="00151E23"/>
    <w:rsid w:val="001526E0"/>
    <w:rsid w:val="001532C8"/>
    <w:rsid w:val="00154261"/>
    <w:rsid w:val="001547EF"/>
    <w:rsid w:val="00154B38"/>
    <w:rsid w:val="00154B73"/>
    <w:rsid w:val="001551B5"/>
    <w:rsid w:val="001562ED"/>
    <w:rsid w:val="001566BD"/>
    <w:rsid w:val="00156FEE"/>
    <w:rsid w:val="00157171"/>
    <w:rsid w:val="00157C8F"/>
    <w:rsid w:val="00157CE2"/>
    <w:rsid w:val="001605D8"/>
    <w:rsid w:val="00161ED4"/>
    <w:rsid w:val="001620FB"/>
    <w:rsid w:val="001624D2"/>
    <w:rsid w:val="00162501"/>
    <w:rsid w:val="00165327"/>
    <w:rsid w:val="00165545"/>
    <w:rsid w:val="001659C1"/>
    <w:rsid w:val="00165A5D"/>
    <w:rsid w:val="00166588"/>
    <w:rsid w:val="00166671"/>
    <w:rsid w:val="00166774"/>
    <w:rsid w:val="001669CB"/>
    <w:rsid w:val="00166A18"/>
    <w:rsid w:val="00166BB5"/>
    <w:rsid w:val="00167E55"/>
    <w:rsid w:val="001703C6"/>
    <w:rsid w:val="00170495"/>
    <w:rsid w:val="001710FA"/>
    <w:rsid w:val="001725DC"/>
    <w:rsid w:val="00173A8E"/>
    <w:rsid w:val="00173B6C"/>
    <w:rsid w:val="00173E4C"/>
    <w:rsid w:val="00174FA7"/>
    <w:rsid w:val="0017657B"/>
    <w:rsid w:val="00176A65"/>
    <w:rsid w:val="0017787F"/>
    <w:rsid w:val="0018010F"/>
    <w:rsid w:val="0018059F"/>
    <w:rsid w:val="00180E56"/>
    <w:rsid w:val="0018143F"/>
    <w:rsid w:val="00182463"/>
    <w:rsid w:val="001835CD"/>
    <w:rsid w:val="00183C22"/>
    <w:rsid w:val="00184F6B"/>
    <w:rsid w:val="0018545E"/>
    <w:rsid w:val="00185A98"/>
    <w:rsid w:val="001860C7"/>
    <w:rsid w:val="00187012"/>
    <w:rsid w:val="00187118"/>
    <w:rsid w:val="00187968"/>
    <w:rsid w:val="00187D8A"/>
    <w:rsid w:val="00190AC1"/>
    <w:rsid w:val="00191AFA"/>
    <w:rsid w:val="0019246B"/>
    <w:rsid w:val="0019341A"/>
    <w:rsid w:val="00193C64"/>
    <w:rsid w:val="00195779"/>
    <w:rsid w:val="00197456"/>
    <w:rsid w:val="001974A4"/>
    <w:rsid w:val="00197DF9"/>
    <w:rsid w:val="00197E05"/>
    <w:rsid w:val="001A0948"/>
    <w:rsid w:val="001A16EB"/>
    <w:rsid w:val="001A1987"/>
    <w:rsid w:val="001A1AE7"/>
    <w:rsid w:val="001A1B5B"/>
    <w:rsid w:val="001A2489"/>
    <w:rsid w:val="001A252C"/>
    <w:rsid w:val="001A2564"/>
    <w:rsid w:val="001A2ACF"/>
    <w:rsid w:val="001A3222"/>
    <w:rsid w:val="001A3C65"/>
    <w:rsid w:val="001A4F03"/>
    <w:rsid w:val="001A6173"/>
    <w:rsid w:val="001A697D"/>
    <w:rsid w:val="001A6A1F"/>
    <w:rsid w:val="001A6CBA"/>
    <w:rsid w:val="001A6E74"/>
    <w:rsid w:val="001A7EA0"/>
    <w:rsid w:val="001B02CA"/>
    <w:rsid w:val="001B0483"/>
    <w:rsid w:val="001B05F9"/>
    <w:rsid w:val="001B0B6C"/>
    <w:rsid w:val="001B0D97"/>
    <w:rsid w:val="001B2FCF"/>
    <w:rsid w:val="001B341B"/>
    <w:rsid w:val="001B4A1E"/>
    <w:rsid w:val="001B5A5D"/>
    <w:rsid w:val="001B64A6"/>
    <w:rsid w:val="001B65B2"/>
    <w:rsid w:val="001C03CE"/>
    <w:rsid w:val="001C1347"/>
    <w:rsid w:val="001C1CE5"/>
    <w:rsid w:val="001C28CD"/>
    <w:rsid w:val="001C2C53"/>
    <w:rsid w:val="001C380C"/>
    <w:rsid w:val="001C3D2A"/>
    <w:rsid w:val="001C4A7D"/>
    <w:rsid w:val="001C516F"/>
    <w:rsid w:val="001C52F6"/>
    <w:rsid w:val="001C5327"/>
    <w:rsid w:val="001C55FB"/>
    <w:rsid w:val="001C5DDE"/>
    <w:rsid w:val="001C7785"/>
    <w:rsid w:val="001D06BA"/>
    <w:rsid w:val="001D07FF"/>
    <w:rsid w:val="001D179D"/>
    <w:rsid w:val="001D1A04"/>
    <w:rsid w:val="001D2422"/>
    <w:rsid w:val="001D462F"/>
    <w:rsid w:val="001D51BA"/>
    <w:rsid w:val="001D5864"/>
    <w:rsid w:val="001D5915"/>
    <w:rsid w:val="001D5F4E"/>
    <w:rsid w:val="001D6342"/>
    <w:rsid w:val="001D659A"/>
    <w:rsid w:val="001D6A80"/>
    <w:rsid w:val="001D6D53"/>
    <w:rsid w:val="001E0232"/>
    <w:rsid w:val="001E069A"/>
    <w:rsid w:val="001E0E57"/>
    <w:rsid w:val="001E0F80"/>
    <w:rsid w:val="001E1138"/>
    <w:rsid w:val="001E1805"/>
    <w:rsid w:val="001E1A27"/>
    <w:rsid w:val="001E1C30"/>
    <w:rsid w:val="001E28F4"/>
    <w:rsid w:val="001E478E"/>
    <w:rsid w:val="001E51FF"/>
    <w:rsid w:val="001E579E"/>
    <w:rsid w:val="001E58E2"/>
    <w:rsid w:val="001E5933"/>
    <w:rsid w:val="001E5FB8"/>
    <w:rsid w:val="001E6F4F"/>
    <w:rsid w:val="001E7AED"/>
    <w:rsid w:val="001F04B4"/>
    <w:rsid w:val="001F0E35"/>
    <w:rsid w:val="001F14BB"/>
    <w:rsid w:val="001F2302"/>
    <w:rsid w:val="001F2672"/>
    <w:rsid w:val="001F2B81"/>
    <w:rsid w:val="001F31D1"/>
    <w:rsid w:val="001F3916"/>
    <w:rsid w:val="001F3FBB"/>
    <w:rsid w:val="001F406C"/>
    <w:rsid w:val="001F54C5"/>
    <w:rsid w:val="001F620C"/>
    <w:rsid w:val="001F662C"/>
    <w:rsid w:val="001F7074"/>
    <w:rsid w:val="001F7A7C"/>
    <w:rsid w:val="001F7A87"/>
    <w:rsid w:val="00200490"/>
    <w:rsid w:val="00200BF3"/>
    <w:rsid w:val="002016F4"/>
    <w:rsid w:val="00201F3A"/>
    <w:rsid w:val="00202E05"/>
    <w:rsid w:val="0020331B"/>
    <w:rsid w:val="00203888"/>
    <w:rsid w:val="00203F96"/>
    <w:rsid w:val="002041A7"/>
    <w:rsid w:val="00205B31"/>
    <w:rsid w:val="0020673D"/>
    <w:rsid w:val="002069B2"/>
    <w:rsid w:val="00207FA3"/>
    <w:rsid w:val="00210F3F"/>
    <w:rsid w:val="00211097"/>
    <w:rsid w:val="0021136A"/>
    <w:rsid w:val="002133BE"/>
    <w:rsid w:val="002133D3"/>
    <w:rsid w:val="00213539"/>
    <w:rsid w:val="0021374B"/>
    <w:rsid w:val="00213A12"/>
    <w:rsid w:val="00214316"/>
    <w:rsid w:val="00214DA8"/>
    <w:rsid w:val="00215423"/>
    <w:rsid w:val="002158FA"/>
    <w:rsid w:val="00215926"/>
    <w:rsid w:val="0021594D"/>
    <w:rsid w:val="00216648"/>
    <w:rsid w:val="00217964"/>
    <w:rsid w:val="00217CDC"/>
    <w:rsid w:val="00220600"/>
    <w:rsid w:val="00220C07"/>
    <w:rsid w:val="00220F69"/>
    <w:rsid w:val="00221737"/>
    <w:rsid w:val="002224DB"/>
    <w:rsid w:val="00223399"/>
    <w:rsid w:val="00223FCB"/>
    <w:rsid w:val="002244BE"/>
    <w:rsid w:val="002252C3"/>
    <w:rsid w:val="00225C54"/>
    <w:rsid w:val="002276D1"/>
    <w:rsid w:val="002302FF"/>
    <w:rsid w:val="0023064E"/>
    <w:rsid w:val="00230765"/>
    <w:rsid w:val="002319E4"/>
    <w:rsid w:val="00231BF8"/>
    <w:rsid w:val="00231DB7"/>
    <w:rsid w:val="002323D0"/>
    <w:rsid w:val="0023382A"/>
    <w:rsid w:val="00233A78"/>
    <w:rsid w:val="00233FB8"/>
    <w:rsid w:val="00234550"/>
    <w:rsid w:val="00234A3F"/>
    <w:rsid w:val="00235632"/>
    <w:rsid w:val="00235872"/>
    <w:rsid w:val="00240A14"/>
    <w:rsid w:val="00241559"/>
    <w:rsid w:val="00241B3D"/>
    <w:rsid w:val="002421DD"/>
    <w:rsid w:val="00242929"/>
    <w:rsid w:val="002435B3"/>
    <w:rsid w:val="002438D9"/>
    <w:rsid w:val="00243EB8"/>
    <w:rsid w:val="002455AF"/>
    <w:rsid w:val="002455F4"/>
    <w:rsid w:val="002458EB"/>
    <w:rsid w:val="002466A3"/>
    <w:rsid w:val="0024676A"/>
    <w:rsid w:val="002468AB"/>
    <w:rsid w:val="00247237"/>
    <w:rsid w:val="002500C8"/>
    <w:rsid w:val="002501BF"/>
    <w:rsid w:val="0025178A"/>
    <w:rsid w:val="00251FF4"/>
    <w:rsid w:val="002532D8"/>
    <w:rsid w:val="0025384F"/>
    <w:rsid w:val="00255305"/>
    <w:rsid w:val="00256137"/>
    <w:rsid w:val="00256A13"/>
    <w:rsid w:val="00257543"/>
    <w:rsid w:val="0026001A"/>
    <w:rsid w:val="002601C3"/>
    <w:rsid w:val="00260838"/>
    <w:rsid w:val="002615AC"/>
    <w:rsid w:val="002617E7"/>
    <w:rsid w:val="00262C31"/>
    <w:rsid w:val="00264021"/>
    <w:rsid w:val="00264228"/>
    <w:rsid w:val="00264334"/>
    <w:rsid w:val="0026473E"/>
    <w:rsid w:val="0026486C"/>
    <w:rsid w:val="00264F75"/>
    <w:rsid w:val="002657EA"/>
    <w:rsid w:val="00265EBA"/>
    <w:rsid w:val="00266214"/>
    <w:rsid w:val="0026631F"/>
    <w:rsid w:val="00266D31"/>
    <w:rsid w:val="00267098"/>
    <w:rsid w:val="00267C83"/>
    <w:rsid w:val="00270029"/>
    <w:rsid w:val="002700A1"/>
    <w:rsid w:val="0027040D"/>
    <w:rsid w:val="002713BC"/>
    <w:rsid w:val="0027144F"/>
    <w:rsid w:val="00271813"/>
    <w:rsid w:val="00271DA9"/>
    <w:rsid w:val="00271F3A"/>
    <w:rsid w:val="002722EB"/>
    <w:rsid w:val="00273278"/>
    <w:rsid w:val="002737F4"/>
    <w:rsid w:val="002739A6"/>
    <w:rsid w:val="00273CB8"/>
    <w:rsid w:val="002753CB"/>
    <w:rsid w:val="0027556C"/>
    <w:rsid w:val="00275653"/>
    <w:rsid w:val="0027584B"/>
    <w:rsid w:val="00276545"/>
    <w:rsid w:val="00280443"/>
    <w:rsid w:val="002804D3"/>
    <w:rsid w:val="002805F5"/>
    <w:rsid w:val="00280751"/>
    <w:rsid w:val="00280D01"/>
    <w:rsid w:val="00281380"/>
    <w:rsid w:val="00281C7A"/>
    <w:rsid w:val="00281C86"/>
    <w:rsid w:val="002825CF"/>
    <w:rsid w:val="0028280A"/>
    <w:rsid w:val="0028346C"/>
    <w:rsid w:val="002843A8"/>
    <w:rsid w:val="00284983"/>
    <w:rsid w:val="00286ACD"/>
    <w:rsid w:val="00287838"/>
    <w:rsid w:val="00287E37"/>
    <w:rsid w:val="00287F35"/>
    <w:rsid w:val="0029012D"/>
    <w:rsid w:val="002907B5"/>
    <w:rsid w:val="00290CBE"/>
    <w:rsid w:val="00290D72"/>
    <w:rsid w:val="002922B4"/>
    <w:rsid w:val="00292C0F"/>
    <w:rsid w:val="00292EB7"/>
    <w:rsid w:val="002932B8"/>
    <w:rsid w:val="00294F16"/>
    <w:rsid w:val="0029513B"/>
    <w:rsid w:val="002952FE"/>
    <w:rsid w:val="00295420"/>
    <w:rsid w:val="00295EC1"/>
    <w:rsid w:val="00296227"/>
    <w:rsid w:val="00296E30"/>
    <w:rsid w:val="00296F44"/>
    <w:rsid w:val="002973BB"/>
    <w:rsid w:val="0029777D"/>
    <w:rsid w:val="002979C6"/>
    <w:rsid w:val="00297FB1"/>
    <w:rsid w:val="002A0392"/>
    <w:rsid w:val="002A055E"/>
    <w:rsid w:val="002A0A50"/>
    <w:rsid w:val="002A0DF4"/>
    <w:rsid w:val="002A0F1E"/>
    <w:rsid w:val="002A134C"/>
    <w:rsid w:val="002A1D4E"/>
    <w:rsid w:val="002A2072"/>
    <w:rsid w:val="002A2277"/>
    <w:rsid w:val="002A2869"/>
    <w:rsid w:val="002A3DD7"/>
    <w:rsid w:val="002A3DF5"/>
    <w:rsid w:val="002A41C0"/>
    <w:rsid w:val="002A4CA5"/>
    <w:rsid w:val="002A517B"/>
    <w:rsid w:val="002A5E64"/>
    <w:rsid w:val="002A630C"/>
    <w:rsid w:val="002B24D6"/>
    <w:rsid w:val="002B2E14"/>
    <w:rsid w:val="002B328B"/>
    <w:rsid w:val="002B333E"/>
    <w:rsid w:val="002B380C"/>
    <w:rsid w:val="002B4395"/>
    <w:rsid w:val="002B4428"/>
    <w:rsid w:val="002B4B70"/>
    <w:rsid w:val="002B5959"/>
    <w:rsid w:val="002B7928"/>
    <w:rsid w:val="002B7E5F"/>
    <w:rsid w:val="002C111D"/>
    <w:rsid w:val="002C209B"/>
    <w:rsid w:val="002C2C36"/>
    <w:rsid w:val="002C3300"/>
    <w:rsid w:val="002C41E6"/>
    <w:rsid w:val="002C4DB9"/>
    <w:rsid w:val="002C58D6"/>
    <w:rsid w:val="002C5AD7"/>
    <w:rsid w:val="002C6D5E"/>
    <w:rsid w:val="002C720C"/>
    <w:rsid w:val="002C7540"/>
    <w:rsid w:val="002C7FB7"/>
    <w:rsid w:val="002D071A"/>
    <w:rsid w:val="002D11B2"/>
    <w:rsid w:val="002D13CE"/>
    <w:rsid w:val="002D1D4B"/>
    <w:rsid w:val="002D22AC"/>
    <w:rsid w:val="002D2453"/>
    <w:rsid w:val="002D3282"/>
    <w:rsid w:val="002D34B2"/>
    <w:rsid w:val="002D3A09"/>
    <w:rsid w:val="002D4295"/>
    <w:rsid w:val="002D4A2B"/>
    <w:rsid w:val="002D4C86"/>
    <w:rsid w:val="002D5683"/>
    <w:rsid w:val="002D7637"/>
    <w:rsid w:val="002D7E84"/>
    <w:rsid w:val="002E02D9"/>
    <w:rsid w:val="002E17F2"/>
    <w:rsid w:val="002E2010"/>
    <w:rsid w:val="002E30C1"/>
    <w:rsid w:val="002E3834"/>
    <w:rsid w:val="002E4A68"/>
    <w:rsid w:val="002E4FBA"/>
    <w:rsid w:val="002E7BC1"/>
    <w:rsid w:val="002E7C4D"/>
    <w:rsid w:val="002E7CAE"/>
    <w:rsid w:val="002E7F79"/>
    <w:rsid w:val="002F15C0"/>
    <w:rsid w:val="002F1BE3"/>
    <w:rsid w:val="002F26AA"/>
    <w:rsid w:val="002F2771"/>
    <w:rsid w:val="002F27D6"/>
    <w:rsid w:val="002F2C2B"/>
    <w:rsid w:val="002F34B2"/>
    <w:rsid w:val="002F37A9"/>
    <w:rsid w:val="002F3DDB"/>
    <w:rsid w:val="002F4E92"/>
    <w:rsid w:val="002F61EF"/>
    <w:rsid w:val="002F6316"/>
    <w:rsid w:val="002F6374"/>
    <w:rsid w:val="002F671E"/>
    <w:rsid w:val="002F784C"/>
    <w:rsid w:val="00300832"/>
    <w:rsid w:val="00300927"/>
    <w:rsid w:val="00301CE6"/>
    <w:rsid w:val="00301E69"/>
    <w:rsid w:val="0030256B"/>
    <w:rsid w:val="0030261A"/>
    <w:rsid w:val="0030276F"/>
    <w:rsid w:val="00302D40"/>
    <w:rsid w:val="003034C3"/>
    <w:rsid w:val="003043FC"/>
    <w:rsid w:val="0030491D"/>
    <w:rsid w:val="0030501F"/>
    <w:rsid w:val="0030557A"/>
    <w:rsid w:val="00306131"/>
    <w:rsid w:val="003066C7"/>
    <w:rsid w:val="0030755B"/>
    <w:rsid w:val="00307BA1"/>
    <w:rsid w:val="00307D2A"/>
    <w:rsid w:val="00307DE6"/>
    <w:rsid w:val="0031068F"/>
    <w:rsid w:val="00311702"/>
    <w:rsid w:val="00311E82"/>
    <w:rsid w:val="003130B9"/>
    <w:rsid w:val="00313FD6"/>
    <w:rsid w:val="003140FC"/>
    <w:rsid w:val="0031430C"/>
    <w:rsid w:val="0031435F"/>
    <w:rsid w:val="003143BD"/>
    <w:rsid w:val="003146F5"/>
    <w:rsid w:val="0031586E"/>
    <w:rsid w:val="00316F00"/>
    <w:rsid w:val="00317CBC"/>
    <w:rsid w:val="003203ED"/>
    <w:rsid w:val="00321189"/>
    <w:rsid w:val="00321307"/>
    <w:rsid w:val="00321CCD"/>
    <w:rsid w:val="0032213F"/>
    <w:rsid w:val="003225A8"/>
    <w:rsid w:val="00322C9F"/>
    <w:rsid w:val="00323CE6"/>
    <w:rsid w:val="0032437F"/>
    <w:rsid w:val="003243EB"/>
    <w:rsid w:val="003247C7"/>
    <w:rsid w:val="00324D23"/>
    <w:rsid w:val="00325199"/>
    <w:rsid w:val="00325E35"/>
    <w:rsid w:val="00326B88"/>
    <w:rsid w:val="00326BBC"/>
    <w:rsid w:val="00326DE7"/>
    <w:rsid w:val="003300B0"/>
    <w:rsid w:val="0033020C"/>
    <w:rsid w:val="0033046B"/>
    <w:rsid w:val="0033053D"/>
    <w:rsid w:val="00331161"/>
    <w:rsid w:val="00331751"/>
    <w:rsid w:val="00333821"/>
    <w:rsid w:val="00334579"/>
    <w:rsid w:val="003345BE"/>
    <w:rsid w:val="00334B38"/>
    <w:rsid w:val="00334DA1"/>
    <w:rsid w:val="003352C7"/>
    <w:rsid w:val="00335858"/>
    <w:rsid w:val="00335B07"/>
    <w:rsid w:val="00336400"/>
    <w:rsid w:val="00336A6A"/>
    <w:rsid w:val="00336BDA"/>
    <w:rsid w:val="003372A6"/>
    <w:rsid w:val="0034082C"/>
    <w:rsid w:val="00340C38"/>
    <w:rsid w:val="00341151"/>
    <w:rsid w:val="0034253A"/>
    <w:rsid w:val="0034280F"/>
    <w:rsid w:val="00342BD7"/>
    <w:rsid w:val="0034344B"/>
    <w:rsid w:val="00346DB5"/>
    <w:rsid w:val="003477B1"/>
    <w:rsid w:val="00347B23"/>
    <w:rsid w:val="00347B98"/>
    <w:rsid w:val="00350C50"/>
    <w:rsid w:val="00351D06"/>
    <w:rsid w:val="00352DB7"/>
    <w:rsid w:val="00352DC1"/>
    <w:rsid w:val="003532AD"/>
    <w:rsid w:val="003538D7"/>
    <w:rsid w:val="00353F2F"/>
    <w:rsid w:val="00354006"/>
    <w:rsid w:val="0035440C"/>
    <w:rsid w:val="00354EB9"/>
    <w:rsid w:val="00356B09"/>
    <w:rsid w:val="00356EC2"/>
    <w:rsid w:val="00356F3B"/>
    <w:rsid w:val="00357380"/>
    <w:rsid w:val="00357762"/>
    <w:rsid w:val="00357ED8"/>
    <w:rsid w:val="00357FAC"/>
    <w:rsid w:val="003602D9"/>
    <w:rsid w:val="0036033A"/>
    <w:rsid w:val="003604CE"/>
    <w:rsid w:val="00360A2E"/>
    <w:rsid w:val="00360A31"/>
    <w:rsid w:val="0036143C"/>
    <w:rsid w:val="00361D3F"/>
    <w:rsid w:val="003623E7"/>
    <w:rsid w:val="00362E4F"/>
    <w:rsid w:val="00362FAF"/>
    <w:rsid w:val="003631A7"/>
    <w:rsid w:val="00363316"/>
    <w:rsid w:val="00363DA4"/>
    <w:rsid w:val="003645E2"/>
    <w:rsid w:val="00364A8B"/>
    <w:rsid w:val="0036636B"/>
    <w:rsid w:val="00366D00"/>
    <w:rsid w:val="00367004"/>
    <w:rsid w:val="00370E47"/>
    <w:rsid w:val="00371B83"/>
    <w:rsid w:val="00371C64"/>
    <w:rsid w:val="00371DB1"/>
    <w:rsid w:val="00372327"/>
    <w:rsid w:val="00372591"/>
    <w:rsid w:val="00373C67"/>
    <w:rsid w:val="003742AC"/>
    <w:rsid w:val="00374F9A"/>
    <w:rsid w:val="00375FF7"/>
    <w:rsid w:val="0037704F"/>
    <w:rsid w:val="0037770A"/>
    <w:rsid w:val="00377CE1"/>
    <w:rsid w:val="003805C2"/>
    <w:rsid w:val="00380EF9"/>
    <w:rsid w:val="0038116B"/>
    <w:rsid w:val="003813E7"/>
    <w:rsid w:val="0038180B"/>
    <w:rsid w:val="00383095"/>
    <w:rsid w:val="003834E1"/>
    <w:rsid w:val="003837F8"/>
    <w:rsid w:val="003838E6"/>
    <w:rsid w:val="00383E31"/>
    <w:rsid w:val="00385BF0"/>
    <w:rsid w:val="003862F4"/>
    <w:rsid w:val="003877DD"/>
    <w:rsid w:val="00390339"/>
    <w:rsid w:val="00390869"/>
    <w:rsid w:val="003920EC"/>
    <w:rsid w:val="0039231E"/>
    <w:rsid w:val="0039263A"/>
    <w:rsid w:val="003929E1"/>
    <w:rsid w:val="003939FF"/>
    <w:rsid w:val="00393FEF"/>
    <w:rsid w:val="00395420"/>
    <w:rsid w:val="00395BF6"/>
    <w:rsid w:val="00395EE4"/>
    <w:rsid w:val="00395F05"/>
    <w:rsid w:val="00397B6D"/>
    <w:rsid w:val="003A04CD"/>
    <w:rsid w:val="003A0538"/>
    <w:rsid w:val="003A0C49"/>
    <w:rsid w:val="003A2223"/>
    <w:rsid w:val="003A2294"/>
    <w:rsid w:val="003A2A0F"/>
    <w:rsid w:val="003A2A46"/>
    <w:rsid w:val="003A2B79"/>
    <w:rsid w:val="003A3954"/>
    <w:rsid w:val="003A3CC6"/>
    <w:rsid w:val="003A45A1"/>
    <w:rsid w:val="003A4D62"/>
    <w:rsid w:val="003A5154"/>
    <w:rsid w:val="003A5B0A"/>
    <w:rsid w:val="003A652C"/>
    <w:rsid w:val="003A65E4"/>
    <w:rsid w:val="003A6708"/>
    <w:rsid w:val="003A6BAC"/>
    <w:rsid w:val="003A750B"/>
    <w:rsid w:val="003A7EF3"/>
    <w:rsid w:val="003B07A7"/>
    <w:rsid w:val="003B0DF5"/>
    <w:rsid w:val="003B159C"/>
    <w:rsid w:val="003B24DE"/>
    <w:rsid w:val="003B369F"/>
    <w:rsid w:val="003B36A3"/>
    <w:rsid w:val="003B3A35"/>
    <w:rsid w:val="003B3D49"/>
    <w:rsid w:val="003B4058"/>
    <w:rsid w:val="003B4424"/>
    <w:rsid w:val="003B4989"/>
    <w:rsid w:val="003B5562"/>
    <w:rsid w:val="003B6435"/>
    <w:rsid w:val="003B6FA8"/>
    <w:rsid w:val="003B7D72"/>
    <w:rsid w:val="003B7EAF"/>
    <w:rsid w:val="003B7FE5"/>
    <w:rsid w:val="003C11C8"/>
    <w:rsid w:val="003C11E7"/>
    <w:rsid w:val="003C19DA"/>
    <w:rsid w:val="003C2497"/>
    <w:rsid w:val="003C2698"/>
    <w:rsid w:val="003C2702"/>
    <w:rsid w:val="003C71BC"/>
    <w:rsid w:val="003C7806"/>
    <w:rsid w:val="003D0E27"/>
    <w:rsid w:val="003D109F"/>
    <w:rsid w:val="003D1162"/>
    <w:rsid w:val="003D1E1E"/>
    <w:rsid w:val="003D2478"/>
    <w:rsid w:val="003D3C45"/>
    <w:rsid w:val="003D4EF0"/>
    <w:rsid w:val="003D59E0"/>
    <w:rsid w:val="003D5B1F"/>
    <w:rsid w:val="003D62C8"/>
    <w:rsid w:val="003D7C8C"/>
    <w:rsid w:val="003E023E"/>
    <w:rsid w:val="003E045C"/>
    <w:rsid w:val="003E1154"/>
    <w:rsid w:val="003E140A"/>
    <w:rsid w:val="003E15FA"/>
    <w:rsid w:val="003E1DC6"/>
    <w:rsid w:val="003E2466"/>
    <w:rsid w:val="003E2BA5"/>
    <w:rsid w:val="003E2EC0"/>
    <w:rsid w:val="003E3800"/>
    <w:rsid w:val="003E4B33"/>
    <w:rsid w:val="003E538B"/>
    <w:rsid w:val="003E5430"/>
    <w:rsid w:val="003E55E4"/>
    <w:rsid w:val="003E6279"/>
    <w:rsid w:val="003E7401"/>
    <w:rsid w:val="003E74E3"/>
    <w:rsid w:val="003E7880"/>
    <w:rsid w:val="003F05C7"/>
    <w:rsid w:val="003F1455"/>
    <w:rsid w:val="003F2229"/>
    <w:rsid w:val="003F2904"/>
    <w:rsid w:val="003F2CD4"/>
    <w:rsid w:val="003F435A"/>
    <w:rsid w:val="003F6BBE"/>
    <w:rsid w:val="003F6D82"/>
    <w:rsid w:val="003F6F6F"/>
    <w:rsid w:val="004000E8"/>
    <w:rsid w:val="00400664"/>
    <w:rsid w:val="00400C2A"/>
    <w:rsid w:val="00401580"/>
    <w:rsid w:val="00402921"/>
    <w:rsid w:val="00402DBF"/>
    <w:rsid w:val="00402E2B"/>
    <w:rsid w:val="004038B5"/>
    <w:rsid w:val="0040421D"/>
    <w:rsid w:val="00404CE9"/>
    <w:rsid w:val="00404FF0"/>
    <w:rsid w:val="0040512B"/>
    <w:rsid w:val="00405195"/>
    <w:rsid w:val="0040567E"/>
    <w:rsid w:val="00405708"/>
    <w:rsid w:val="00405CA5"/>
    <w:rsid w:val="00406821"/>
    <w:rsid w:val="00407986"/>
    <w:rsid w:val="00407CD3"/>
    <w:rsid w:val="00410134"/>
    <w:rsid w:val="00410B72"/>
    <w:rsid w:val="00410F18"/>
    <w:rsid w:val="00412039"/>
    <w:rsid w:val="0041263E"/>
    <w:rsid w:val="0041328F"/>
    <w:rsid w:val="00413692"/>
    <w:rsid w:val="00413AAC"/>
    <w:rsid w:val="00413E92"/>
    <w:rsid w:val="004149CB"/>
    <w:rsid w:val="004161C1"/>
    <w:rsid w:val="0041689E"/>
    <w:rsid w:val="00416D1E"/>
    <w:rsid w:val="00417191"/>
    <w:rsid w:val="00417BC0"/>
    <w:rsid w:val="00420886"/>
    <w:rsid w:val="00420F90"/>
    <w:rsid w:val="00421105"/>
    <w:rsid w:val="00421DC0"/>
    <w:rsid w:val="004220B0"/>
    <w:rsid w:val="00422564"/>
    <w:rsid w:val="00422A46"/>
    <w:rsid w:val="00422D5D"/>
    <w:rsid w:val="004242F4"/>
    <w:rsid w:val="004251AA"/>
    <w:rsid w:val="004252DB"/>
    <w:rsid w:val="00425A6A"/>
    <w:rsid w:val="00425B88"/>
    <w:rsid w:val="00425C2A"/>
    <w:rsid w:val="00427248"/>
    <w:rsid w:val="00430BAC"/>
    <w:rsid w:val="00430F5B"/>
    <w:rsid w:val="00431B12"/>
    <w:rsid w:val="00432513"/>
    <w:rsid w:val="004333B6"/>
    <w:rsid w:val="0043371B"/>
    <w:rsid w:val="00433DE1"/>
    <w:rsid w:val="00434987"/>
    <w:rsid w:val="00435904"/>
    <w:rsid w:val="00435E43"/>
    <w:rsid w:val="0043731D"/>
    <w:rsid w:val="00437447"/>
    <w:rsid w:val="0044197A"/>
    <w:rsid w:val="00441A92"/>
    <w:rsid w:val="00441F1E"/>
    <w:rsid w:val="0044236F"/>
    <w:rsid w:val="00442A92"/>
    <w:rsid w:val="00443897"/>
    <w:rsid w:val="00443CCC"/>
    <w:rsid w:val="00443FFA"/>
    <w:rsid w:val="00444F56"/>
    <w:rsid w:val="00445871"/>
    <w:rsid w:val="00446488"/>
    <w:rsid w:val="00446D86"/>
    <w:rsid w:val="00447B47"/>
    <w:rsid w:val="00447DC4"/>
    <w:rsid w:val="004503AC"/>
    <w:rsid w:val="004517AA"/>
    <w:rsid w:val="00452AB6"/>
    <w:rsid w:val="00452CAC"/>
    <w:rsid w:val="0045302C"/>
    <w:rsid w:val="004531B2"/>
    <w:rsid w:val="00454E1D"/>
    <w:rsid w:val="0045504C"/>
    <w:rsid w:val="00455B35"/>
    <w:rsid w:val="004563C3"/>
    <w:rsid w:val="00457565"/>
    <w:rsid w:val="00457B71"/>
    <w:rsid w:val="00457D5C"/>
    <w:rsid w:val="00457F17"/>
    <w:rsid w:val="00461429"/>
    <w:rsid w:val="00462256"/>
    <w:rsid w:val="00463116"/>
    <w:rsid w:val="004631A3"/>
    <w:rsid w:val="00463AF4"/>
    <w:rsid w:val="00464CDD"/>
    <w:rsid w:val="004652FD"/>
    <w:rsid w:val="00465828"/>
    <w:rsid w:val="0046582D"/>
    <w:rsid w:val="00465C36"/>
    <w:rsid w:val="004669E2"/>
    <w:rsid w:val="00467C4E"/>
    <w:rsid w:val="00470087"/>
    <w:rsid w:val="0047011B"/>
    <w:rsid w:val="00470AD5"/>
    <w:rsid w:val="00470C31"/>
    <w:rsid w:val="004713BA"/>
    <w:rsid w:val="004718A4"/>
    <w:rsid w:val="00472884"/>
    <w:rsid w:val="00472A5A"/>
    <w:rsid w:val="004734D0"/>
    <w:rsid w:val="004735D6"/>
    <w:rsid w:val="00473BC7"/>
    <w:rsid w:val="00474E3F"/>
    <w:rsid w:val="00474F1A"/>
    <w:rsid w:val="0047556B"/>
    <w:rsid w:val="00476111"/>
    <w:rsid w:val="0047704A"/>
    <w:rsid w:val="0047717E"/>
    <w:rsid w:val="00477344"/>
    <w:rsid w:val="00477645"/>
    <w:rsid w:val="00477768"/>
    <w:rsid w:val="00477846"/>
    <w:rsid w:val="00480074"/>
    <w:rsid w:val="0048008B"/>
    <w:rsid w:val="00480BDD"/>
    <w:rsid w:val="00480E14"/>
    <w:rsid w:val="0048235D"/>
    <w:rsid w:val="00482CDD"/>
    <w:rsid w:val="00482F11"/>
    <w:rsid w:val="00483168"/>
    <w:rsid w:val="0048354A"/>
    <w:rsid w:val="00483F9B"/>
    <w:rsid w:val="00484446"/>
    <w:rsid w:val="0048499A"/>
    <w:rsid w:val="00485667"/>
    <w:rsid w:val="004857D3"/>
    <w:rsid w:val="004874D0"/>
    <w:rsid w:val="004904EE"/>
    <w:rsid w:val="00490ACA"/>
    <w:rsid w:val="00490DE1"/>
    <w:rsid w:val="004912E4"/>
    <w:rsid w:val="004914F8"/>
    <w:rsid w:val="00492BC5"/>
    <w:rsid w:val="00493A29"/>
    <w:rsid w:val="00495DB1"/>
    <w:rsid w:val="00496233"/>
    <w:rsid w:val="004964F1"/>
    <w:rsid w:val="00496ABA"/>
    <w:rsid w:val="00497047"/>
    <w:rsid w:val="004A014A"/>
    <w:rsid w:val="004A1023"/>
    <w:rsid w:val="004A12A3"/>
    <w:rsid w:val="004A147A"/>
    <w:rsid w:val="004A16BC"/>
    <w:rsid w:val="004A2B94"/>
    <w:rsid w:val="004A2C05"/>
    <w:rsid w:val="004A3167"/>
    <w:rsid w:val="004A48A3"/>
    <w:rsid w:val="004A62D6"/>
    <w:rsid w:val="004A6C1E"/>
    <w:rsid w:val="004B0496"/>
    <w:rsid w:val="004B0919"/>
    <w:rsid w:val="004B158C"/>
    <w:rsid w:val="004B1C79"/>
    <w:rsid w:val="004B1FC0"/>
    <w:rsid w:val="004B2DF6"/>
    <w:rsid w:val="004B31D8"/>
    <w:rsid w:val="004B33BF"/>
    <w:rsid w:val="004B42E7"/>
    <w:rsid w:val="004B4F73"/>
    <w:rsid w:val="004B5C2F"/>
    <w:rsid w:val="004B66D0"/>
    <w:rsid w:val="004B6F28"/>
    <w:rsid w:val="004B7C0C"/>
    <w:rsid w:val="004C2645"/>
    <w:rsid w:val="004C3898"/>
    <w:rsid w:val="004C4246"/>
    <w:rsid w:val="004C4612"/>
    <w:rsid w:val="004C5C2C"/>
    <w:rsid w:val="004C6FC1"/>
    <w:rsid w:val="004C7B85"/>
    <w:rsid w:val="004D0F7B"/>
    <w:rsid w:val="004D1698"/>
    <w:rsid w:val="004D1E7F"/>
    <w:rsid w:val="004D20D1"/>
    <w:rsid w:val="004D22F6"/>
    <w:rsid w:val="004D2BD6"/>
    <w:rsid w:val="004D32AB"/>
    <w:rsid w:val="004D36B1"/>
    <w:rsid w:val="004D3A8C"/>
    <w:rsid w:val="004D3C4C"/>
    <w:rsid w:val="004D3F54"/>
    <w:rsid w:val="004D4AC5"/>
    <w:rsid w:val="004D4BEF"/>
    <w:rsid w:val="004D58C8"/>
    <w:rsid w:val="004D6417"/>
    <w:rsid w:val="004D665A"/>
    <w:rsid w:val="004D6C2E"/>
    <w:rsid w:val="004D6E6B"/>
    <w:rsid w:val="004D7EBD"/>
    <w:rsid w:val="004E0138"/>
    <w:rsid w:val="004E143B"/>
    <w:rsid w:val="004E15B5"/>
    <w:rsid w:val="004E1E8E"/>
    <w:rsid w:val="004E2680"/>
    <w:rsid w:val="004E28F9"/>
    <w:rsid w:val="004E3AC6"/>
    <w:rsid w:val="004E3BB7"/>
    <w:rsid w:val="004E3E5E"/>
    <w:rsid w:val="004E462E"/>
    <w:rsid w:val="004E4E16"/>
    <w:rsid w:val="004E53A9"/>
    <w:rsid w:val="004E56DC"/>
    <w:rsid w:val="004E5A37"/>
    <w:rsid w:val="004E659A"/>
    <w:rsid w:val="004E75A1"/>
    <w:rsid w:val="004E75AA"/>
    <w:rsid w:val="004E76F4"/>
    <w:rsid w:val="004E7778"/>
    <w:rsid w:val="004E7929"/>
    <w:rsid w:val="004E7F65"/>
    <w:rsid w:val="004F034D"/>
    <w:rsid w:val="004F0484"/>
    <w:rsid w:val="004F0B4E"/>
    <w:rsid w:val="004F0B5C"/>
    <w:rsid w:val="004F0B6C"/>
    <w:rsid w:val="004F1364"/>
    <w:rsid w:val="004F2078"/>
    <w:rsid w:val="004F24C9"/>
    <w:rsid w:val="004F2846"/>
    <w:rsid w:val="004F29D6"/>
    <w:rsid w:val="004F4296"/>
    <w:rsid w:val="004F45F9"/>
    <w:rsid w:val="004F4DA3"/>
    <w:rsid w:val="004F4EFE"/>
    <w:rsid w:val="004F560D"/>
    <w:rsid w:val="004F590D"/>
    <w:rsid w:val="004F7AFC"/>
    <w:rsid w:val="004F7C46"/>
    <w:rsid w:val="00500172"/>
    <w:rsid w:val="005003DA"/>
    <w:rsid w:val="00500F86"/>
    <w:rsid w:val="005013D0"/>
    <w:rsid w:val="00501498"/>
    <w:rsid w:val="00501DF9"/>
    <w:rsid w:val="00501EE3"/>
    <w:rsid w:val="0050250A"/>
    <w:rsid w:val="005026FB"/>
    <w:rsid w:val="00502BCB"/>
    <w:rsid w:val="00502C59"/>
    <w:rsid w:val="00505110"/>
    <w:rsid w:val="00505D1F"/>
    <w:rsid w:val="00505F57"/>
    <w:rsid w:val="00506557"/>
    <w:rsid w:val="0050677A"/>
    <w:rsid w:val="00510716"/>
    <w:rsid w:val="005108D8"/>
    <w:rsid w:val="005112D6"/>
    <w:rsid w:val="005116F9"/>
    <w:rsid w:val="00511892"/>
    <w:rsid w:val="00511DD1"/>
    <w:rsid w:val="005153A7"/>
    <w:rsid w:val="00515A32"/>
    <w:rsid w:val="00515C34"/>
    <w:rsid w:val="005161C9"/>
    <w:rsid w:val="00517CBF"/>
    <w:rsid w:val="00517D16"/>
    <w:rsid w:val="00520609"/>
    <w:rsid w:val="00520E33"/>
    <w:rsid w:val="005219CF"/>
    <w:rsid w:val="00521B6A"/>
    <w:rsid w:val="00521BF8"/>
    <w:rsid w:val="0052235D"/>
    <w:rsid w:val="0052327B"/>
    <w:rsid w:val="00523540"/>
    <w:rsid w:val="0052387B"/>
    <w:rsid w:val="005238E3"/>
    <w:rsid w:val="0052453E"/>
    <w:rsid w:val="0052502A"/>
    <w:rsid w:val="00527A28"/>
    <w:rsid w:val="00530643"/>
    <w:rsid w:val="00531631"/>
    <w:rsid w:val="00531B9B"/>
    <w:rsid w:val="00531D30"/>
    <w:rsid w:val="00534B59"/>
    <w:rsid w:val="00535098"/>
    <w:rsid w:val="00535314"/>
    <w:rsid w:val="00536759"/>
    <w:rsid w:val="005368EF"/>
    <w:rsid w:val="0053773A"/>
    <w:rsid w:val="00537C62"/>
    <w:rsid w:val="00540B43"/>
    <w:rsid w:val="00540B61"/>
    <w:rsid w:val="00540F35"/>
    <w:rsid w:val="00540FCE"/>
    <w:rsid w:val="00541A35"/>
    <w:rsid w:val="00541EB7"/>
    <w:rsid w:val="005429B1"/>
    <w:rsid w:val="00542BCE"/>
    <w:rsid w:val="00544D95"/>
    <w:rsid w:val="00545608"/>
    <w:rsid w:val="00546970"/>
    <w:rsid w:val="005469C9"/>
    <w:rsid w:val="005476EA"/>
    <w:rsid w:val="00551EB9"/>
    <w:rsid w:val="00551F4F"/>
    <w:rsid w:val="00552585"/>
    <w:rsid w:val="00552638"/>
    <w:rsid w:val="00554336"/>
    <w:rsid w:val="00554B0A"/>
    <w:rsid w:val="00554E19"/>
    <w:rsid w:val="00555491"/>
    <w:rsid w:val="00555AC9"/>
    <w:rsid w:val="005561BC"/>
    <w:rsid w:val="005562E8"/>
    <w:rsid w:val="005570B4"/>
    <w:rsid w:val="00557EB1"/>
    <w:rsid w:val="00557F73"/>
    <w:rsid w:val="005605FB"/>
    <w:rsid w:val="00560A2D"/>
    <w:rsid w:val="0056121F"/>
    <w:rsid w:val="005618B2"/>
    <w:rsid w:val="00561949"/>
    <w:rsid w:val="005620F1"/>
    <w:rsid w:val="005634A4"/>
    <w:rsid w:val="00563600"/>
    <w:rsid w:val="005646BD"/>
    <w:rsid w:val="00564E7A"/>
    <w:rsid w:val="0056533D"/>
    <w:rsid w:val="005661DB"/>
    <w:rsid w:val="0057107C"/>
    <w:rsid w:val="0057126F"/>
    <w:rsid w:val="00571B6C"/>
    <w:rsid w:val="00572505"/>
    <w:rsid w:val="0057253D"/>
    <w:rsid w:val="005725D5"/>
    <w:rsid w:val="00573703"/>
    <w:rsid w:val="00573F08"/>
    <w:rsid w:val="005744C8"/>
    <w:rsid w:val="00574B41"/>
    <w:rsid w:val="00575227"/>
    <w:rsid w:val="00575C2F"/>
    <w:rsid w:val="00575D08"/>
    <w:rsid w:val="0057664C"/>
    <w:rsid w:val="0057760F"/>
    <w:rsid w:val="00577F2D"/>
    <w:rsid w:val="00581812"/>
    <w:rsid w:val="005821EC"/>
    <w:rsid w:val="005826D4"/>
    <w:rsid w:val="00582809"/>
    <w:rsid w:val="005842CA"/>
    <w:rsid w:val="0058622D"/>
    <w:rsid w:val="0058798C"/>
    <w:rsid w:val="005900FA"/>
    <w:rsid w:val="00591E11"/>
    <w:rsid w:val="00592BE8"/>
    <w:rsid w:val="00592D9C"/>
    <w:rsid w:val="00592E17"/>
    <w:rsid w:val="005935A4"/>
    <w:rsid w:val="00593AA3"/>
    <w:rsid w:val="005948C2"/>
    <w:rsid w:val="00594A08"/>
    <w:rsid w:val="00595151"/>
    <w:rsid w:val="00595DCA"/>
    <w:rsid w:val="00596373"/>
    <w:rsid w:val="005975B0"/>
    <w:rsid w:val="0059779B"/>
    <w:rsid w:val="00597D24"/>
    <w:rsid w:val="005A011C"/>
    <w:rsid w:val="005A035E"/>
    <w:rsid w:val="005A0446"/>
    <w:rsid w:val="005A059F"/>
    <w:rsid w:val="005A1459"/>
    <w:rsid w:val="005A1B5A"/>
    <w:rsid w:val="005A209A"/>
    <w:rsid w:val="005A27E4"/>
    <w:rsid w:val="005A2B1A"/>
    <w:rsid w:val="005A4147"/>
    <w:rsid w:val="005A6294"/>
    <w:rsid w:val="005A662D"/>
    <w:rsid w:val="005A6A9A"/>
    <w:rsid w:val="005A6AFA"/>
    <w:rsid w:val="005A78D6"/>
    <w:rsid w:val="005B066E"/>
    <w:rsid w:val="005B0A75"/>
    <w:rsid w:val="005B196A"/>
    <w:rsid w:val="005B35D7"/>
    <w:rsid w:val="005B392A"/>
    <w:rsid w:val="005B3AA3"/>
    <w:rsid w:val="005B44FC"/>
    <w:rsid w:val="005B4598"/>
    <w:rsid w:val="005B50DB"/>
    <w:rsid w:val="005B62CA"/>
    <w:rsid w:val="005B6D5C"/>
    <w:rsid w:val="005B6F83"/>
    <w:rsid w:val="005B6FC5"/>
    <w:rsid w:val="005B7B2B"/>
    <w:rsid w:val="005C0A0D"/>
    <w:rsid w:val="005C0BFB"/>
    <w:rsid w:val="005C1AEA"/>
    <w:rsid w:val="005C2874"/>
    <w:rsid w:val="005C3AFA"/>
    <w:rsid w:val="005C4648"/>
    <w:rsid w:val="005C4894"/>
    <w:rsid w:val="005C4D4A"/>
    <w:rsid w:val="005C5C7E"/>
    <w:rsid w:val="005C6DD1"/>
    <w:rsid w:val="005C74FB"/>
    <w:rsid w:val="005C79F3"/>
    <w:rsid w:val="005C7E0A"/>
    <w:rsid w:val="005D1145"/>
    <w:rsid w:val="005D1602"/>
    <w:rsid w:val="005D1947"/>
    <w:rsid w:val="005D583F"/>
    <w:rsid w:val="005D5AB8"/>
    <w:rsid w:val="005D6A68"/>
    <w:rsid w:val="005D6AF9"/>
    <w:rsid w:val="005D6C03"/>
    <w:rsid w:val="005D6DB4"/>
    <w:rsid w:val="005D6EFD"/>
    <w:rsid w:val="005D7605"/>
    <w:rsid w:val="005D7AC4"/>
    <w:rsid w:val="005E04DE"/>
    <w:rsid w:val="005E08E8"/>
    <w:rsid w:val="005E1131"/>
    <w:rsid w:val="005E11AF"/>
    <w:rsid w:val="005E1AA7"/>
    <w:rsid w:val="005E1BD8"/>
    <w:rsid w:val="005E333A"/>
    <w:rsid w:val="005E385F"/>
    <w:rsid w:val="005E38B9"/>
    <w:rsid w:val="005E3BDB"/>
    <w:rsid w:val="005E3FC2"/>
    <w:rsid w:val="005E55FB"/>
    <w:rsid w:val="005E5B81"/>
    <w:rsid w:val="005E670F"/>
    <w:rsid w:val="005F0724"/>
    <w:rsid w:val="005F07D3"/>
    <w:rsid w:val="005F11AA"/>
    <w:rsid w:val="005F1237"/>
    <w:rsid w:val="005F2CB1"/>
    <w:rsid w:val="005F2FDC"/>
    <w:rsid w:val="005F3025"/>
    <w:rsid w:val="005F3272"/>
    <w:rsid w:val="005F3626"/>
    <w:rsid w:val="005F4DDD"/>
    <w:rsid w:val="005F501E"/>
    <w:rsid w:val="005F5BDB"/>
    <w:rsid w:val="005F618C"/>
    <w:rsid w:val="005F6F4E"/>
    <w:rsid w:val="005F70BD"/>
    <w:rsid w:val="005F7181"/>
    <w:rsid w:val="005F79E4"/>
    <w:rsid w:val="005F7D03"/>
    <w:rsid w:val="005F7E30"/>
    <w:rsid w:val="00600908"/>
    <w:rsid w:val="006018F1"/>
    <w:rsid w:val="006025C8"/>
    <w:rsid w:val="0060282E"/>
    <w:rsid w:val="0060283C"/>
    <w:rsid w:val="00602CDD"/>
    <w:rsid w:val="006039AD"/>
    <w:rsid w:val="00604547"/>
    <w:rsid w:val="0060462A"/>
    <w:rsid w:val="006046B8"/>
    <w:rsid w:val="00604F14"/>
    <w:rsid w:val="00605419"/>
    <w:rsid w:val="00605771"/>
    <w:rsid w:val="00606272"/>
    <w:rsid w:val="00607B7F"/>
    <w:rsid w:val="00610DE2"/>
    <w:rsid w:val="00610F68"/>
    <w:rsid w:val="006117A9"/>
    <w:rsid w:val="00611B83"/>
    <w:rsid w:val="00611F31"/>
    <w:rsid w:val="006121B9"/>
    <w:rsid w:val="00613257"/>
    <w:rsid w:val="006132CC"/>
    <w:rsid w:val="0061342C"/>
    <w:rsid w:val="00614328"/>
    <w:rsid w:val="006146CE"/>
    <w:rsid w:val="00614F0D"/>
    <w:rsid w:val="00617399"/>
    <w:rsid w:val="006173CB"/>
    <w:rsid w:val="006173D4"/>
    <w:rsid w:val="0061758D"/>
    <w:rsid w:val="00617795"/>
    <w:rsid w:val="0062051E"/>
    <w:rsid w:val="00620A71"/>
    <w:rsid w:val="00620AAC"/>
    <w:rsid w:val="00620D4A"/>
    <w:rsid w:val="00620D80"/>
    <w:rsid w:val="00620F39"/>
    <w:rsid w:val="00621138"/>
    <w:rsid w:val="00622E80"/>
    <w:rsid w:val="006234A6"/>
    <w:rsid w:val="00623A29"/>
    <w:rsid w:val="00624303"/>
    <w:rsid w:val="00624A46"/>
    <w:rsid w:val="00624E73"/>
    <w:rsid w:val="006256A3"/>
    <w:rsid w:val="0062655D"/>
    <w:rsid w:val="00630001"/>
    <w:rsid w:val="006300BB"/>
    <w:rsid w:val="00630AF9"/>
    <w:rsid w:val="006311B3"/>
    <w:rsid w:val="0063284C"/>
    <w:rsid w:val="00632BE1"/>
    <w:rsid w:val="00633559"/>
    <w:rsid w:val="0063366C"/>
    <w:rsid w:val="006346DE"/>
    <w:rsid w:val="00634F49"/>
    <w:rsid w:val="00634FB7"/>
    <w:rsid w:val="00636398"/>
    <w:rsid w:val="006368D3"/>
    <w:rsid w:val="006377EC"/>
    <w:rsid w:val="00640AAA"/>
    <w:rsid w:val="0064151F"/>
    <w:rsid w:val="00641533"/>
    <w:rsid w:val="00641D12"/>
    <w:rsid w:val="0064208D"/>
    <w:rsid w:val="00642C00"/>
    <w:rsid w:val="00643475"/>
    <w:rsid w:val="00643554"/>
    <w:rsid w:val="0064356D"/>
    <w:rsid w:val="0064396A"/>
    <w:rsid w:val="00644637"/>
    <w:rsid w:val="00645182"/>
    <w:rsid w:val="00645B88"/>
    <w:rsid w:val="0064624E"/>
    <w:rsid w:val="00647F92"/>
    <w:rsid w:val="0065069A"/>
    <w:rsid w:val="00650AB9"/>
    <w:rsid w:val="00650CEE"/>
    <w:rsid w:val="0065309B"/>
    <w:rsid w:val="006533A8"/>
    <w:rsid w:val="006536C1"/>
    <w:rsid w:val="0065480A"/>
    <w:rsid w:val="00654BFC"/>
    <w:rsid w:val="00655733"/>
    <w:rsid w:val="00655ACD"/>
    <w:rsid w:val="00655D06"/>
    <w:rsid w:val="00656725"/>
    <w:rsid w:val="0065685C"/>
    <w:rsid w:val="00656A92"/>
    <w:rsid w:val="00656DDE"/>
    <w:rsid w:val="00660008"/>
    <w:rsid w:val="0066011D"/>
    <w:rsid w:val="006607C0"/>
    <w:rsid w:val="00660879"/>
    <w:rsid w:val="006611D7"/>
    <w:rsid w:val="006613A6"/>
    <w:rsid w:val="00662094"/>
    <w:rsid w:val="00662175"/>
    <w:rsid w:val="006627A2"/>
    <w:rsid w:val="006634E6"/>
    <w:rsid w:val="006655EE"/>
    <w:rsid w:val="006660A6"/>
    <w:rsid w:val="006663AB"/>
    <w:rsid w:val="00667D65"/>
    <w:rsid w:val="00667EE7"/>
    <w:rsid w:val="00670922"/>
    <w:rsid w:val="00670B97"/>
    <w:rsid w:val="00670BE1"/>
    <w:rsid w:val="0067114E"/>
    <w:rsid w:val="006717F4"/>
    <w:rsid w:val="0067218F"/>
    <w:rsid w:val="00672252"/>
    <w:rsid w:val="00672949"/>
    <w:rsid w:val="00672995"/>
    <w:rsid w:val="00672F08"/>
    <w:rsid w:val="00672FBF"/>
    <w:rsid w:val="006731B9"/>
    <w:rsid w:val="00673509"/>
    <w:rsid w:val="00674015"/>
    <w:rsid w:val="006741F2"/>
    <w:rsid w:val="00674CC3"/>
    <w:rsid w:val="0067510F"/>
    <w:rsid w:val="00675953"/>
    <w:rsid w:val="00675C72"/>
    <w:rsid w:val="00675FED"/>
    <w:rsid w:val="00676D66"/>
    <w:rsid w:val="006771F9"/>
    <w:rsid w:val="00677302"/>
    <w:rsid w:val="006776D7"/>
    <w:rsid w:val="006808EE"/>
    <w:rsid w:val="00680A7A"/>
    <w:rsid w:val="00681003"/>
    <w:rsid w:val="006815F6"/>
    <w:rsid w:val="006817C9"/>
    <w:rsid w:val="00682964"/>
    <w:rsid w:val="00682D2E"/>
    <w:rsid w:val="00682EB6"/>
    <w:rsid w:val="00683C81"/>
    <w:rsid w:val="00683D01"/>
    <w:rsid w:val="00683ECE"/>
    <w:rsid w:val="00684ED1"/>
    <w:rsid w:val="00686453"/>
    <w:rsid w:val="00686B29"/>
    <w:rsid w:val="00686EB0"/>
    <w:rsid w:val="006875FF"/>
    <w:rsid w:val="006876D5"/>
    <w:rsid w:val="0069077C"/>
    <w:rsid w:val="00690D20"/>
    <w:rsid w:val="006911C2"/>
    <w:rsid w:val="0069129E"/>
    <w:rsid w:val="006916B0"/>
    <w:rsid w:val="00691A6C"/>
    <w:rsid w:val="00693400"/>
    <w:rsid w:val="00693D63"/>
    <w:rsid w:val="0069434E"/>
    <w:rsid w:val="00695FC2"/>
    <w:rsid w:val="00696123"/>
    <w:rsid w:val="00696949"/>
    <w:rsid w:val="00696E96"/>
    <w:rsid w:val="00696F93"/>
    <w:rsid w:val="00697052"/>
    <w:rsid w:val="006974C6"/>
    <w:rsid w:val="006A0811"/>
    <w:rsid w:val="006A08CE"/>
    <w:rsid w:val="006A155B"/>
    <w:rsid w:val="006A223A"/>
    <w:rsid w:val="006A2853"/>
    <w:rsid w:val="006A29A4"/>
    <w:rsid w:val="006A3C6E"/>
    <w:rsid w:val="006A3F32"/>
    <w:rsid w:val="006A404C"/>
    <w:rsid w:val="006A4168"/>
    <w:rsid w:val="006A46FB"/>
    <w:rsid w:val="006A4EAF"/>
    <w:rsid w:val="006A4F47"/>
    <w:rsid w:val="006A5B39"/>
    <w:rsid w:val="006A5E28"/>
    <w:rsid w:val="006A5F1B"/>
    <w:rsid w:val="006A693C"/>
    <w:rsid w:val="006A697B"/>
    <w:rsid w:val="006A7AFF"/>
    <w:rsid w:val="006B039C"/>
    <w:rsid w:val="006B043F"/>
    <w:rsid w:val="006B069E"/>
    <w:rsid w:val="006B07D6"/>
    <w:rsid w:val="006B0B64"/>
    <w:rsid w:val="006B0E23"/>
    <w:rsid w:val="006B14FA"/>
    <w:rsid w:val="006B1816"/>
    <w:rsid w:val="006B2099"/>
    <w:rsid w:val="006B230F"/>
    <w:rsid w:val="006B2D47"/>
    <w:rsid w:val="006B30DE"/>
    <w:rsid w:val="006B30EC"/>
    <w:rsid w:val="006B3AE4"/>
    <w:rsid w:val="006B50CF"/>
    <w:rsid w:val="006B5412"/>
    <w:rsid w:val="006B587C"/>
    <w:rsid w:val="006B684B"/>
    <w:rsid w:val="006B6852"/>
    <w:rsid w:val="006B6910"/>
    <w:rsid w:val="006B7620"/>
    <w:rsid w:val="006B7AA2"/>
    <w:rsid w:val="006C03B8"/>
    <w:rsid w:val="006C1DB4"/>
    <w:rsid w:val="006C3334"/>
    <w:rsid w:val="006C39FA"/>
    <w:rsid w:val="006C3C7D"/>
    <w:rsid w:val="006C4A5C"/>
    <w:rsid w:val="006C529B"/>
    <w:rsid w:val="006C5AE1"/>
    <w:rsid w:val="006C5CFC"/>
    <w:rsid w:val="006C5E69"/>
    <w:rsid w:val="006C5EC9"/>
    <w:rsid w:val="006C6059"/>
    <w:rsid w:val="006C6949"/>
    <w:rsid w:val="006C6956"/>
    <w:rsid w:val="006C6CE2"/>
    <w:rsid w:val="006C7522"/>
    <w:rsid w:val="006D1569"/>
    <w:rsid w:val="006D30D5"/>
    <w:rsid w:val="006D363E"/>
    <w:rsid w:val="006D4938"/>
    <w:rsid w:val="006D5177"/>
    <w:rsid w:val="006D65CA"/>
    <w:rsid w:val="006D6A38"/>
    <w:rsid w:val="006D6B00"/>
    <w:rsid w:val="006D6F08"/>
    <w:rsid w:val="006E062C"/>
    <w:rsid w:val="006E2108"/>
    <w:rsid w:val="006E249B"/>
    <w:rsid w:val="006E28B7"/>
    <w:rsid w:val="006E3310"/>
    <w:rsid w:val="006E3C29"/>
    <w:rsid w:val="006E40F7"/>
    <w:rsid w:val="006E4E39"/>
    <w:rsid w:val="006E4FF4"/>
    <w:rsid w:val="006E565E"/>
    <w:rsid w:val="006E5F94"/>
    <w:rsid w:val="006E6277"/>
    <w:rsid w:val="006E65DA"/>
    <w:rsid w:val="006E673D"/>
    <w:rsid w:val="006E73DD"/>
    <w:rsid w:val="006E73EB"/>
    <w:rsid w:val="006E7A8D"/>
    <w:rsid w:val="006E7D3B"/>
    <w:rsid w:val="006F044B"/>
    <w:rsid w:val="006F0A45"/>
    <w:rsid w:val="006F11FE"/>
    <w:rsid w:val="006F145E"/>
    <w:rsid w:val="006F1B70"/>
    <w:rsid w:val="006F26D0"/>
    <w:rsid w:val="006F3315"/>
    <w:rsid w:val="006F341D"/>
    <w:rsid w:val="006F35CC"/>
    <w:rsid w:val="006F3620"/>
    <w:rsid w:val="006F3CDE"/>
    <w:rsid w:val="006F58D4"/>
    <w:rsid w:val="006F5AFE"/>
    <w:rsid w:val="007008BB"/>
    <w:rsid w:val="00700A9B"/>
    <w:rsid w:val="00700D8F"/>
    <w:rsid w:val="0070104C"/>
    <w:rsid w:val="007020A0"/>
    <w:rsid w:val="007027CF"/>
    <w:rsid w:val="00702D8B"/>
    <w:rsid w:val="0070346E"/>
    <w:rsid w:val="0070393E"/>
    <w:rsid w:val="00703C0A"/>
    <w:rsid w:val="00703CA3"/>
    <w:rsid w:val="00703E69"/>
    <w:rsid w:val="00704EDB"/>
    <w:rsid w:val="00705532"/>
    <w:rsid w:val="0070555B"/>
    <w:rsid w:val="00705AE4"/>
    <w:rsid w:val="00705F54"/>
    <w:rsid w:val="00706101"/>
    <w:rsid w:val="00706487"/>
    <w:rsid w:val="00706D8F"/>
    <w:rsid w:val="00707072"/>
    <w:rsid w:val="0070786F"/>
    <w:rsid w:val="007078E7"/>
    <w:rsid w:val="00707D61"/>
    <w:rsid w:val="00707D8C"/>
    <w:rsid w:val="00710B18"/>
    <w:rsid w:val="00710B5E"/>
    <w:rsid w:val="0071152A"/>
    <w:rsid w:val="00711E8A"/>
    <w:rsid w:val="00711FF8"/>
    <w:rsid w:val="00712287"/>
    <w:rsid w:val="00712772"/>
    <w:rsid w:val="00712F6C"/>
    <w:rsid w:val="00713AEA"/>
    <w:rsid w:val="00713D85"/>
    <w:rsid w:val="00713E0D"/>
    <w:rsid w:val="007148D3"/>
    <w:rsid w:val="007156A6"/>
    <w:rsid w:val="00715B9A"/>
    <w:rsid w:val="00716EC9"/>
    <w:rsid w:val="00720EBE"/>
    <w:rsid w:val="00721461"/>
    <w:rsid w:val="00721753"/>
    <w:rsid w:val="00724338"/>
    <w:rsid w:val="007244C8"/>
    <w:rsid w:val="007253A8"/>
    <w:rsid w:val="007259F3"/>
    <w:rsid w:val="00726248"/>
    <w:rsid w:val="007264D2"/>
    <w:rsid w:val="00726921"/>
    <w:rsid w:val="00726EA6"/>
    <w:rsid w:val="00727208"/>
    <w:rsid w:val="00727680"/>
    <w:rsid w:val="00727F70"/>
    <w:rsid w:val="00731641"/>
    <w:rsid w:val="0073262D"/>
    <w:rsid w:val="0073329F"/>
    <w:rsid w:val="00733D5D"/>
    <w:rsid w:val="007348B1"/>
    <w:rsid w:val="007362A0"/>
    <w:rsid w:val="007362A6"/>
    <w:rsid w:val="00736D7D"/>
    <w:rsid w:val="007375F2"/>
    <w:rsid w:val="00737CC4"/>
    <w:rsid w:val="00740E58"/>
    <w:rsid w:val="00741EEF"/>
    <w:rsid w:val="00743630"/>
    <w:rsid w:val="007439CB"/>
    <w:rsid w:val="00743C1D"/>
    <w:rsid w:val="007445A0"/>
    <w:rsid w:val="0074524B"/>
    <w:rsid w:val="0074661B"/>
    <w:rsid w:val="007466F8"/>
    <w:rsid w:val="00746FA9"/>
    <w:rsid w:val="0074762D"/>
    <w:rsid w:val="007477D5"/>
    <w:rsid w:val="00747C5A"/>
    <w:rsid w:val="00747D8B"/>
    <w:rsid w:val="007504C4"/>
    <w:rsid w:val="007510F8"/>
    <w:rsid w:val="00751228"/>
    <w:rsid w:val="007512BF"/>
    <w:rsid w:val="00752D9C"/>
    <w:rsid w:val="00753169"/>
    <w:rsid w:val="00753618"/>
    <w:rsid w:val="0075439F"/>
    <w:rsid w:val="0075458A"/>
    <w:rsid w:val="00755A3F"/>
    <w:rsid w:val="00756A9F"/>
    <w:rsid w:val="007571E1"/>
    <w:rsid w:val="0075750E"/>
    <w:rsid w:val="00757D82"/>
    <w:rsid w:val="007604B2"/>
    <w:rsid w:val="007605F1"/>
    <w:rsid w:val="00763855"/>
    <w:rsid w:val="007642FB"/>
    <w:rsid w:val="007643E4"/>
    <w:rsid w:val="0076470B"/>
    <w:rsid w:val="00764DF5"/>
    <w:rsid w:val="00765281"/>
    <w:rsid w:val="0076535D"/>
    <w:rsid w:val="00766BAD"/>
    <w:rsid w:val="00770863"/>
    <w:rsid w:val="00770C31"/>
    <w:rsid w:val="0077182C"/>
    <w:rsid w:val="00771B71"/>
    <w:rsid w:val="00772F7E"/>
    <w:rsid w:val="00773802"/>
    <w:rsid w:val="00774CBB"/>
    <w:rsid w:val="00775148"/>
    <w:rsid w:val="00775299"/>
    <w:rsid w:val="007755F2"/>
    <w:rsid w:val="00776416"/>
    <w:rsid w:val="00776971"/>
    <w:rsid w:val="00776D36"/>
    <w:rsid w:val="00780421"/>
    <w:rsid w:val="00780873"/>
    <w:rsid w:val="00781583"/>
    <w:rsid w:val="0078177E"/>
    <w:rsid w:val="00782328"/>
    <w:rsid w:val="00782AE8"/>
    <w:rsid w:val="0078304C"/>
    <w:rsid w:val="007835D6"/>
    <w:rsid w:val="00783673"/>
    <w:rsid w:val="00783675"/>
    <w:rsid w:val="00783924"/>
    <w:rsid w:val="00783C99"/>
    <w:rsid w:val="00783CF1"/>
    <w:rsid w:val="007848C7"/>
    <w:rsid w:val="007849A2"/>
    <w:rsid w:val="00785490"/>
    <w:rsid w:val="00786350"/>
    <w:rsid w:val="007865E4"/>
    <w:rsid w:val="007869BE"/>
    <w:rsid w:val="00786BBA"/>
    <w:rsid w:val="00787302"/>
    <w:rsid w:val="0079042B"/>
    <w:rsid w:val="00791387"/>
    <w:rsid w:val="00791678"/>
    <w:rsid w:val="007925EA"/>
    <w:rsid w:val="00792AE6"/>
    <w:rsid w:val="00792AF9"/>
    <w:rsid w:val="00793CD8"/>
    <w:rsid w:val="00793DC8"/>
    <w:rsid w:val="0079446E"/>
    <w:rsid w:val="007948EF"/>
    <w:rsid w:val="007958E9"/>
    <w:rsid w:val="00795C92"/>
    <w:rsid w:val="00796231"/>
    <w:rsid w:val="00796286"/>
    <w:rsid w:val="00797798"/>
    <w:rsid w:val="00797C75"/>
    <w:rsid w:val="00797FFE"/>
    <w:rsid w:val="007A05B9"/>
    <w:rsid w:val="007A0B89"/>
    <w:rsid w:val="007A1CB3"/>
    <w:rsid w:val="007A306F"/>
    <w:rsid w:val="007A3EF8"/>
    <w:rsid w:val="007A43A6"/>
    <w:rsid w:val="007A4F2D"/>
    <w:rsid w:val="007A4F98"/>
    <w:rsid w:val="007A5490"/>
    <w:rsid w:val="007A58A6"/>
    <w:rsid w:val="007A59FA"/>
    <w:rsid w:val="007A5D82"/>
    <w:rsid w:val="007A6483"/>
    <w:rsid w:val="007A7B7A"/>
    <w:rsid w:val="007B1A53"/>
    <w:rsid w:val="007B3382"/>
    <w:rsid w:val="007B35EC"/>
    <w:rsid w:val="007B3D2D"/>
    <w:rsid w:val="007B50AE"/>
    <w:rsid w:val="007B511B"/>
    <w:rsid w:val="007B51DF"/>
    <w:rsid w:val="007B5B53"/>
    <w:rsid w:val="007B61F1"/>
    <w:rsid w:val="007B69DC"/>
    <w:rsid w:val="007C02F3"/>
    <w:rsid w:val="007C05DD"/>
    <w:rsid w:val="007C0B4D"/>
    <w:rsid w:val="007C0B73"/>
    <w:rsid w:val="007C0EAF"/>
    <w:rsid w:val="007C1659"/>
    <w:rsid w:val="007C2469"/>
    <w:rsid w:val="007C2985"/>
    <w:rsid w:val="007C3817"/>
    <w:rsid w:val="007C392F"/>
    <w:rsid w:val="007C3AAD"/>
    <w:rsid w:val="007C3D18"/>
    <w:rsid w:val="007C4975"/>
    <w:rsid w:val="007C4C15"/>
    <w:rsid w:val="007C549B"/>
    <w:rsid w:val="007C5594"/>
    <w:rsid w:val="007C5FCC"/>
    <w:rsid w:val="007C6070"/>
    <w:rsid w:val="007C60BF"/>
    <w:rsid w:val="007C6A07"/>
    <w:rsid w:val="007C75A1"/>
    <w:rsid w:val="007C77A5"/>
    <w:rsid w:val="007C7BC8"/>
    <w:rsid w:val="007D016B"/>
    <w:rsid w:val="007D017A"/>
    <w:rsid w:val="007D04E5"/>
    <w:rsid w:val="007D0838"/>
    <w:rsid w:val="007D106F"/>
    <w:rsid w:val="007D3035"/>
    <w:rsid w:val="007D318A"/>
    <w:rsid w:val="007D4EE8"/>
    <w:rsid w:val="007D5901"/>
    <w:rsid w:val="007D5CFB"/>
    <w:rsid w:val="007D607D"/>
    <w:rsid w:val="007D6887"/>
    <w:rsid w:val="007D689E"/>
    <w:rsid w:val="007D6E99"/>
    <w:rsid w:val="007D7526"/>
    <w:rsid w:val="007E02DD"/>
    <w:rsid w:val="007E178E"/>
    <w:rsid w:val="007E1E32"/>
    <w:rsid w:val="007E2733"/>
    <w:rsid w:val="007E2EBE"/>
    <w:rsid w:val="007E3250"/>
    <w:rsid w:val="007E390A"/>
    <w:rsid w:val="007E3AE7"/>
    <w:rsid w:val="007E4518"/>
    <w:rsid w:val="007E4610"/>
    <w:rsid w:val="007E4715"/>
    <w:rsid w:val="007E505B"/>
    <w:rsid w:val="007E5EFF"/>
    <w:rsid w:val="007E5FB2"/>
    <w:rsid w:val="007E62AC"/>
    <w:rsid w:val="007E7091"/>
    <w:rsid w:val="007E7C66"/>
    <w:rsid w:val="007E7F7C"/>
    <w:rsid w:val="007F007D"/>
    <w:rsid w:val="007F018F"/>
    <w:rsid w:val="007F22C6"/>
    <w:rsid w:val="007F2D87"/>
    <w:rsid w:val="007F3FE7"/>
    <w:rsid w:val="007F4730"/>
    <w:rsid w:val="007F4ABD"/>
    <w:rsid w:val="007F512E"/>
    <w:rsid w:val="007F7230"/>
    <w:rsid w:val="008005ED"/>
    <w:rsid w:val="00800E95"/>
    <w:rsid w:val="00801754"/>
    <w:rsid w:val="00802800"/>
    <w:rsid w:val="008028BA"/>
    <w:rsid w:val="00802FD1"/>
    <w:rsid w:val="00803708"/>
    <w:rsid w:val="00803FAE"/>
    <w:rsid w:val="0080438B"/>
    <w:rsid w:val="00804506"/>
    <w:rsid w:val="00804B50"/>
    <w:rsid w:val="008055E4"/>
    <w:rsid w:val="008059D0"/>
    <w:rsid w:val="00805D16"/>
    <w:rsid w:val="0080605F"/>
    <w:rsid w:val="008061F0"/>
    <w:rsid w:val="008064ED"/>
    <w:rsid w:val="00807786"/>
    <w:rsid w:val="00807D52"/>
    <w:rsid w:val="00810438"/>
    <w:rsid w:val="008109CE"/>
    <w:rsid w:val="00811FCB"/>
    <w:rsid w:val="0081260D"/>
    <w:rsid w:val="008135CC"/>
    <w:rsid w:val="0081384B"/>
    <w:rsid w:val="008158D6"/>
    <w:rsid w:val="0081599E"/>
    <w:rsid w:val="00815C67"/>
    <w:rsid w:val="0081642F"/>
    <w:rsid w:val="00816650"/>
    <w:rsid w:val="00817196"/>
    <w:rsid w:val="00817467"/>
    <w:rsid w:val="00820E6D"/>
    <w:rsid w:val="00821725"/>
    <w:rsid w:val="008235DB"/>
    <w:rsid w:val="008242C5"/>
    <w:rsid w:val="00824AB4"/>
    <w:rsid w:val="00825284"/>
    <w:rsid w:val="0082535B"/>
    <w:rsid w:val="00825C42"/>
    <w:rsid w:val="00825D25"/>
    <w:rsid w:val="00826E60"/>
    <w:rsid w:val="0082771E"/>
    <w:rsid w:val="00827D6F"/>
    <w:rsid w:val="00830382"/>
    <w:rsid w:val="00830E52"/>
    <w:rsid w:val="00831FF1"/>
    <w:rsid w:val="00833671"/>
    <w:rsid w:val="00833831"/>
    <w:rsid w:val="008352D4"/>
    <w:rsid w:val="00835871"/>
    <w:rsid w:val="00835E05"/>
    <w:rsid w:val="008376AC"/>
    <w:rsid w:val="008412EA"/>
    <w:rsid w:val="00842A07"/>
    <w:rsid w:val="00843779"/>
    <w:rsid w:val="008444E8"/>
    <w:rsid w:val="00844B85"/>
    <w:rsid w:val="00844E80"/>
    <w:rsid w:val="00845754"/>
    <w:rsid w:val="00846FE7"/>
    <w:rsid w:val="00847CF6"/>
    <w:rsid w:val="00847E13"/>
    <w:rsid w:val="00850135"/>
    <w:rsid w:val="0085082A"/>
    <w:rsid w:val="008509F7"/>
    <w:rsid w:val="00851326"/>
    <w:rsid w:val="0085206D"/>
    <w:rsid w:val="008530EC"/>
    <w:rsid w:val="00853330"/>
    <w:rsid w:val="00853A9C"/>
    <w:rsid w:val="00853FD9"/>
    <w:rsid w:val="00854237"/>
    <w:rsid w:val="00854316"/>
    <w:rsid w:val="008568B9"/>
    <w:rsid w:val="00856911"/>
    <w:rsid w:val="008572A3"/>
    <w:rsid w:val="00857F50"/>
    <w:rsid w:val="008604FA"/>
    <w:rsid w:val="00860782"/>
    <w:rsid w:val="00861586"/>
    <w:rsid w:val="00862126"/>
    <w:rsid w:val="00862939"/>
    <w:rsid w:val="0086318D"/>
    <w:rsid w:val="008632BD"/>
    <w:rsid w:val="00864445"/>
    <w:rsid w:val="00865BAC"/>
    <w:rsid w:val="00865C41"/>
    <w:rsid w:val="00866B27"/>
    <w:rsid w:val="00866B94"/>
    <w:rsid w:val="00866C0D"/>
    <w:rsid w:val="00866DEA"/>
    <w:rsid w:val="00867163"/>
    <w:rsid w:val="008677FD"/>
    <w:rsid w:val="00867E47"/>
    <w:rsid w:val="008706D4"/>
    <w:rsid w:val="00870F8A"/>
    <w:rsid w:val="008719A4"/>
    <w:rsid w:val="00871AFA"/>
    <w:rsid w:val="00871D23"/>
    <w:rsid w:val="00874312"/>
    <w:rsid w:val="0087437C"/>
    <w:rsid w:val="0087448C"/>
    <w:rsid w:val="00875755"/>
    <w:rsid w:val="00875CD7"/>
    <w:rsid w:val="00876234"/>
    <w:rsid w:val="008762BD"/>
    <w:rsid w:val="00876932"/>
    <w:rsid w:val="00876B4D"/>
    <w:rsid w:val="00876CBD"/>
    <w:rsid w:val="00876FC3"/>
    <w:rsid w:val="0087701B"/>
    <w:rsid w:val="00877334"/>
    <w:rsid w:val="00877F18"/>
    <w:rsid w:val="00880032"/>
    <w:rsid w:val="008804C2"/>
    <w:rsid w:val="00881019"/>
    <w:rsid w:val="00881CBB"/>
    <w:rsid w:val="0088205D"/>
    <w:rsid w:val="008827F4"/>
    <w:rsid w:val="00883593"/>
    <w:rsid w:val="0088442E"/>
    <w:rsid w:val="008847DF"/>
    <w:rsid w:val="008853B3"/>
    <w:rsid w:val="00885BD5"/>
    <w:rsid w:val="008861D4"/>
    <w:rsid w:val="00886F03"/>
    <w:rsid w:val="0089208C"/>
    <w:rsid w:val="00892F30"/>
    <w:rsid w:val="00892FE6"/>
    <w:rsid w:val="00893321"/>
    <w:rsid w:val="00893645"/>
    <w:rsid w:val="00893CC5"/>
    <w:rsid w:val="00894A88"/>
    <w:rsid w:val="00894EB4"/>
    <w:rsid w:val="00895386"/>
    <w:rsid w:val="00895BFF"/>
    <w:rsid w:val="00895EAC"/>
    <w:rsid w:val="00897183"/>
    <w:rsid w:val="00897B1F"/>
    <w:rsid w:val="00897F73"/>
    <w:rsid w:val="008A0C1C"/>
    <w:rsid w:val="008A1538"/>
    <w:rsid w:val="008A1C1A"/>
    <w:rsid w:val="008A21FF"/>
    <w:rsid w:val="008A296B"/>
    <w:rsid w:val="008A2CE2"/>
    <w:rsid w:val="008A30AC"/>
    <w:rsid w:val="008A3250"/>
    <w:rsid w:val="008A44B8"/>
    <w:rsid w:val="008A46E5"/>
    <w:rsid w:val="008A51A8"/>
    <w:rsid w:val="008A523B"/>
    <w:rsid w:val="008A54C7"/>
    <w:rsid w:val="008A77D8"/>
    <w:rsid w:val="008A7C37"/>
    <w:rsid w:val="008B0483"/>
    <w:rsid w:val="008B05B3"/>
    <w:rsid w:val="008B120C"/>
    <w:rsid w:val="008B2E4F"/>
    <w:rsid w:val="008B3590"/>
    <w:rsid w:val="008B4C32"/>
    <w:rsid w:val="008B4E15"/>
    <w:rsid w:val="008B51A0"/>
    <w:rsid w:val="008B5915"/>
    <w:rsid w:val="008B592A"/>
    <w:rsid w:val="008B71B4"/>
    <w:rsid w:val="008B7997"/>
    <w:rsid w:val="008B7B5C"/>
    <w:rsid w:val="008B7DBA"/>
    <w:rsid w:val="008C00A3"/>
    <w:rsid w:val="008C0B84"/>
    <w:rsid w:val="008C0C99"/>
    <w:rsid w:val="008C16D9"/>
    <w:rsid w:val="008C1C91"/>
    <w:rsid w:val="008C2017"/>
    <w:rsid w:val="008C2470"/>
    <w:rsid w:val="008C3940"/>
    <w:rsid w:val="008C3CF5"/>
    <w:rsid w:val="008C3DFB"/>
    <w:rsid w:val="008C4958"/>
    <w:rsid w:val="008C4BAA"/>
    <w:rsid w:val="008C512E"/>
    <w:rsid w:val="008C535E"/>
    <w:rsid w:val="008C6880"/>
    <w:rsid w:val="008C6AE8"/>
    <w:rsid w:val="008C6BD9"/>
    <w:rsid w:val="008C6C88"/>
    <w:rsid w:val="008C6C9F"/>
    <w:rsid w:val="008C6DD8"/>
    <w:rsid w:val="008C6F68"/>
    <w:rsid w:val="008C7573"/>
    <w:rsid w:val="008C75FB"/>
    <w:rsid w:val="008C76CD"/>
    <w:rsid w:val="008D1668"/>
    <w:rsid w:val="008D1764"/>
    <w:rsid w:val="008D1D8C"/>
    <w:rsid w:val="008D34F1"/>
    <w:rsid w:val="008D39D7"/>
    <w:rsid w:val="008D39D8"/>
    <w:rsid w:val="008D5AD2"/>
    <w:rsid w:val="008D6351"/>
    <w:rsid w:val="008D65C0"/>
    <w:rsid w:val="008D6BCC"/>
    <w:rsid w:val="008D6D1A"/>
    <w:rsid w:val="008D796C"/>
    <w:rsid w:val="008E065E"/>
    <w:rsid w:val="008E0927"/>
    <w:rsid w:val="008E0B15"/>
    <w:rsid w:val="008E138E"/>
    <w:rsid w:val="008E1909"/>
    <w:rsid w:val="008E1990"/>
    <w:rsid w:val="008E2011"/>
    <w:rsid w:val="008E26F7"/>
    <w:rsid w:val="008E28D1"/>
    <w:rsid w:val="008E28DC"/>
    <w:rsid w:val="008E2C5A"/>
    <w:rsid w:val="008E36B1"/>
    <w:rsid w:val="008E3AAB"/>
    <w:rsid w:val="008E3E72"/>
    <w:rsid w:val="008E41FF"/>
    <w:rsid w:val="008E4D7C"/>
    <w:rsid w:val="008E50C2"/>
    <w:rsid w:val="008E636A"/>
    <w:rsid w:val="008E6E41"/>
    <w:rsid w:val="008E7D63"/>
    <w:rsid w:val="008F0806"/>
    <w:rsid w:val="008F0BE4"/>
    <w:rsid w:val="008F0DA9"/>
    <w:rsid w:val="008F159A"/>
    <w:rsid w:val="008F1EAB"/>
    <w:rsid w:val="008F33DC"/>
    <w:rsid w:val="008F3974"/>
    <w:rsid w:val="008F39DD"/>
    <w:rsid w:val="008F477F"/>
    <w:rsid w:val="008F5E84"/>
    <w:rsid w:val="008F6045"/>
    <w:rsid w:val="008F6525"/>
    <w:rsid w:val="008F6CA7"/>
    <w:rsid w:val="008F764B"/>
    <w:rsid w:val="009005B1"/>
    <w:rsid w:val="00900D5A"/>
    <w:rsid w:val="00900F97"/>
    <w:rsid w:val="009012E2"/>
    <w:rsid w:val="00901525"/>
    <w:rsid w:val="00902350"/>
    <w:rsid w:val="0090336B"/>
    <w:rsid w:val="009038B8"/>
    <w:rsid w:val="009050D7"/>
    <w:rsid w:val="009053AA"/>
    <w:rsid w:val="00905ED0"/>
    <w:rsid w:val="0090633C"/>
    <w:rsid w:val="0090646A"/>
    <w:rsid w:val="00906939"/>
    <w:rsid w:val="00910A74"/>
    <w:rsid w:val="00910B7D"/>
    <w:rsid w:val="00911344"/>
    <w:rsid w:val="009118A7"/>
    <w:rsid w:val="00911DFB"/>
    <w:rsid w:val="0091271D"/>
    <w:rsid w:val="00912741"/>
    <w:rsid w:val="00913051"/>
    <w:rsid w:val="009139D9"/>
    <w:rsid w:val="00914AD8"/>
    <w:rsid w:val="00915A75"/>
    <w:rsid w:val="00915F53"/>
    <w:rsid w:val="00916079"/>
    <w:rsid w:val="00917CE9"/>
    <w:rsid w:val="00917D55"/>
    <w:rsid w:val="009206DB"/>
    <w:rsid w:val="00920BF2"/>
    <w:rsid w:val="009215CA"/>
    <w:rsid w:val="00921D86"/>
    <w:rsid w:val="00921E47"/>
    <w:rsid w:val="00922010"/>
    <w:rsid w:val="009225A8"/>
    <w:rsid w:val="009244D0"/>
    <w:rsid w:val="009305EA"/>
    <w:rsid w:val="0093198A"/>
    <w:rsid w:val="00931BD9"/>
    <w:rsid w:val="00932336"/>
    <w:rsid w:val="0093233C"/>
    <w:rsid w:val="00932474"/>
    <w:rsid w:val="0093370E"/>
    <w:rsid w:val="009341BA"/>
    <w:rsid w:val="009344BA"/>
    <w:rsid w:val="009345AC"/>
    <w:rsid w:val="00934889"/>
    <w:rsid w:val="00934C29"/>
    <w:rsid w:val="00934D5E"/>
    <w:rsid w:val="00934F57"/>
    <w:rsid w:val="00935BE8"/>
    <w:rsid w:val="009368F3"/>
    <w:rsid w:val="0093735F"/>
    <w:rsid w:val="00937E91"/>
    <w:rsid w:val="0094015C"/>
    <w:rsid w:val="0094135F"/>
    <w:rsid w:val="00941636"/>
    <w:rsid w:val="00942008"/>
    <w:rsid w:val="009426EF"/>
    <w:rsid w:val="00942B59"/>
    <w:rsid w:val="0094367A"/>
    <w:rsid w:val="009436E4"/>
    <w:rsid w:val="00943742"/>
    <w:rsid w:val="00943B5A"/>
    <w:rsid w:val="00944034"/>
    <w:rsid w:val="00944056"/>
    <w:rsid w:val="00944104"/>
    <w:rsid w:val="00944EDA"/>
    <w:rsid w:val="0094518C"/>
    <w:rsid w:val="00945BE9"/>
    <w:rsid w:val="00945C05"/>
    <w:rsid w:val="0094676D"/>
    <w:rsid w:val="00946945"/>
    <w:rsid w:val="00946F0B"/>
    <w:rsid w:val="00947713"/>
    <w:rsid w:val="009477CE"/>
    <w:rsid w:val="00947A55"/>
    <w:rsid w:val="00947DD1"/>
    <w:rsid w:val="00950B8D"/>
    <w:rsid w:val="00950BDF"/>
    <w:rsid w:val="00950DE7"/>
    <w:rsid w:val="009515DB"/>
    <w:rsid w:val="00952C3E"/>
    <w:rsid w:val="009531D0"/>
    <w:rsid w:val="00953634"/>
    <w:rsid w:val="00953920"/>
    <w:rsid w:val="00953D47"/>
    <w:rsid w:val="00954BF2"/>
    <w:rsid w:val="00955677"/>
    <w:rsid w:val="00955A85"/>
    <w:rsid w:val="00955BA0"/>
    <w:rsid w:val="009565D5"/>
    <w:rsid w:val="009567A5"/>
    <w:rsid w:val="0095681E"/>
    <w:rsid w:val="009572D4"/>
    <w:rsid w:val="00960848"/>
    <w:rsid w:val="00960BE9"/>
    <w:rsid w:val="00961921"/>
    <w:rsid w:val="00961C4E"/>
    <w:rsid w:val="00962703"/>
    <w:rsid w:val="00962E78"/>
    <w:rsid w:val="0096379D"/>
    <w:rsid w:val="00963977"/>
    <w:rsid w:val="00963E7C"/>
    <w:rsid w:val="00963ECC"/>
    <w:rsid w:val="0096430A"/>
    <w:rsid w:val="00964B5A"/>
    <w:rsid w:val="0096554B"/>
    <w:rsid w:val="0096584A"/>
    <w:rsid w:val="00965ED2"/>
    <w:rsid w:val="00965F45"/>
    <w:rsid w:val="009677DF"/>
    <w:rsid w:val="00967990"/>
    <w:rsid w:val="009679FD"/>
    <w:rsid w:val="00970771"/>
    <w:rsid w:val="00971626"/>
    <w:rsid w:val="00971CFC"/>
    <w:rsid w:val="00971F08"/>
    <w:rsid w:val="0097352A"/>
    <w:rsid w:val="009737B4"/>
    <w:rsid w:val="0097424F"/>
    <w:rsid w:val="00974EC1"/>
    <w:rsid w:val="00975809"/>
    <w:rsid w:val="0097603D"/>
    <w:rsid w:val="00976949"/>
    <w:rsid w:val="0097767E"/>
    <w:rsid w:val="009802B4"/>
    <w:rsid w:val="00980477"/>
    <w:rsid w:val="009804F1"/>
    <w:rsid w:val="00980B13"/>
    <w:rsid w:val="00980EC6"/>
    <w:rsid w:val="00982C77"/>
    <w:rsid w:val="00983284"/>
    <w:rsid w:val="009834A4"/>
    <w:rsid w:val="00984F42"/>
    <w:rsid w:val="00985251"/>
    <w:rsid w:val="00985253"/>
    <w:rsid w:val="00985281"/>
    <w:rsid w:val="009853B3"/>
    <w:rsid w:val="00985897"/>
    <w:rsid w:val="0098619D"/>
    <w:rsid w:val="00986F06"/>
    <w:rsid w:val="009876E4"/>
    <w:rsid w:val="00987BB5"/>
    <w:rsid w:val="00990208"/>
    <w:rsid w:val="0099037C"/>
    <w:rsid w:val="00990557"/>
    <w:rsid w:val="00990630"/>
    <w:rsid w:val="00991761"/>
    <w:rsid w:val="00991FCD"/>
    <w:rsid w:val="00992C79"/>
    <w:rsid w:val="00993E90"/>
    <w:rsid w:val="00994B72"/>
    <w:rsid w:val="00994DCA"/>
    <w:rsid w:val="00995CF5"/>
    <w:rsid w:val="00995D4E"/>
    <w:rsid w:val="00995EF2"/>
    <w:rsid w:val="009960EC"/>
    <w:rsid w:val="00996FDC"/>
    <w:rsid w:val="009970DD"/>
    <w:rsid w:val="00997A1B"/>
    <w:rsid w:val="009A0621"/>
    <w:rsid w:val="009A0E7F"/>
    <w:rsid w:val="009A0FBA"/>
    <w:rsid w:val="009A11A5"/>
    <w:rsid w:val="009A1601"/>
    <w:rsid w:val="009A2AB3"/>
    <w:rsid w:val="009A2D3C"/>
    <w:rsid w:val="009A408C"/>
    <w:rsid w:val="009A462D"/>
    <w:rsid w:val="009A4C10"/>
    <w:rsid w:val="009A5131"/>
    <w:rsid w:val="009A55A1"/>
    <w:rsid w:val="009A5B25"/>
    <w:rsid w:val="009A5CBA"/>
    <w:rsid w:val="009A5E62"/>
    <w:rsid w:val="009A7541"/>
    <w:rsid w:val="009A782A"/>
    <w:rsid w:val="009A7FCF"/>
    <w:rsid w:val="009B06CF"/>
    <w:rsid w:val="009B08C5"/>
    <w:rsid w:val="009B0F4E"/>
    <w:rsid w:val="009B0F9A"/>
    <w:rsid w:val="009B1B37"/>
    <w:rsid w:val="009B1F30"/>
    <w:rsid w:val="009B39A0"/>
    <w:rsid w:val="009B3AC2"/>
    <w:rsid w:val="009B3F2D"/>
    <w:rsid w:val="009B40BA"/>
    <w:rsid w:val="009B4DF4"/>
    <w:rsid w:val="009B564E"/>
    <w:rsid w:val="009B57BA"/>
    <w:rsid w:val="009B5F86"/>
    <w:rsid w:val="009B5FB5"/>
    <w:rsid w:val="009B6E1E"/>
    <w:rsid w:val="009B798F"/>
    <w:rsid w:val="009B7B38"/>
    <w:rsid w:val="009B7BD0"/>
    <w:rsid w:val="009B7E87"/>
    <w:rsid w:val="009B7F68"/>
    <w:rsid w:val="009C17AC"/>
    <w:rsid w:val="009C2317"/>
    <w:rsid w:val="009C2D6E"/>
    <w:rsid w:val="009C333B"/>
    <w:rsid w:val="009C3496"/>
    <w:rsid w:val="009C3E52"/>
    <w:rsid w:val="009C403E"/>
    <w:rsid w:val="009C4398"/>
    <w:rsid w:val="009C54F3"/>
    <w:rsid w:val="009C5915"/>
    <w:rsid w:val="009C62A5"/>
    <w:rsid w:val="009C75AB"/>
    <w:rsid w:val="009C7FE0"/>
    <w:rsid w:val="009D1282"/>
    <w:rsid w:val="009D1467"/>
    <w:rsid w:val="009D2C57"/>
    <w:rsid w:val="009D3350"/>
    <w:rsid w:val="009D3B78"/>
    <w:rsid w:val="009D435F"/>
    <w:rsid w:val="009D4AFC"/>
    <w:rsid w:val="009D4FF0"/>
    <w:rsid w:val="009D6035"/>
    <w:rsid w:val="009D703C"/>
    <w:rsid w:val="009D718F"/>
    <w:rsid w:val="009D7579"/>
    <w:rsid w:val="009E068F"/>
    <w:rsid w:val="009E0866"/>
    <w:rsid w:val="009E0E1A"/>
    <w:rsid w:val="009E14E0"/>
    <w:rsid w:val="009E224C"/>
    <w:rsid w:val="009E31A4"/>
    <w:rsid w:val="009E324E"/>
    <w:rsid w:val="009E35DB"/>
    <w:rsid w:val="009E3C05"/>
    <w:rsid w:val="009E43A3"/>
    <w:rsid w:val="009E47A3"/>
    <w:rsid w:val="009E75CE"/>
    <w:rsid w:val="009E7AEF"/>
    <w:rsid w:val="009E7CDC"/>
    <w:rsid w:val="009F03FE"/>
    <w:rsid w:val="009F08F3"/>
    <w:rsid w:val="009F09AD"/>
    <w:rsid w:val="009F0B5D"/>
    <w:rsid w:val="009F1627"/>
    <w:rsid w:val="009F1946"/>
    <w:rsid w:val="009F2FE1"/>
    <w:rsid w:val="009F344F"/>
    <w:rsid w:val="009F393F"/>
    <w:rsid w:val="009F3D84"/>
    <w:rsid w:val="009F69C0"/>
    <w:rsid w:val="009F6BA1"/>
    <w:rsid w:val="009F7BC6"/>
    <w:rsid w:val="009F7F16"/>
    <w:rsid w:val="00A016AE"/>
    <w:rsid w:val="00A01890"/>
    <w:rsid w:val="00A02D4B"/>
    <w:rsid w:val="00A02FEB"/>
    <w:rsid w:val="00A031D8"/>
    <w:rsid w:val="00A0401C"/>
    <w:rsid w:val="00A04690"/>
    <w:rsid w:val="00A046D8"/>
    <w:rsid w:val="00A048A8"/>
    <w:rsid w:val="00A04946"/>
    <w:rsid w:val="00A04F49"/>
    <w:rsid w:val="00A051D2"/>
    <w:rsid w:val="00A0552C"/>
    <w:rsid w:val="00A05BD3"/>
    <w:rsid w:val="00A05C21"/>
    <w:rsid w:val="00A06149"/>
    <w:rsid w:val="00A06695"/>
    <w:rsid w:val="00A075FB"/>
    <w:rsid w:val="00A109A1"/>
    <w:rsid w:val="00A10A0B"/>
    <w:rsid w:val="00A10AAD"/>
    <w:rsid w:val="00A10E0F"/>
    <w:rsid w:val="00A125DB"/>
    <w:rsid w:val="00A1275F"/>
    <w:rsid w:val="00A1284B"/>
    <w:rsid w:val="00A13247"/>
    <w:rsid w:val="00A13E54"/>
    <w:rsid w:val="00A144B0"/>
    <w:rsid w:val="00A1547B"/>
    <w:rsid w:val="00A15687"/>
    <w:rsid w:val="00A15E53"/>
    <w:rsid w:val="00A170C9"/>
    <w:rsid w:val="00A1725B"/>
    <w:rsid w:val="00A17E84"/>
    <w:rsid w:val="00A17F63"/>
    <w:rsid w:val="00A2193B"/>
    <w:rsid w:val="00A222E1"/>
    <w:rsid w:val="00A22EBA"/>
    <w:rsid w:val="00A2351A"/>
    <w:rsid w:val="00A24346"/>
    <w:rsid w:val="00A247F6"/>
    <w:rsid w:val="00A24838"/>
    <w:rsid w:val="00A251C7"/>
    <w:rsid w:val="00A25F72"/>
    <w:rsid w:val="00A26425"/>
    <w:rsid w:val="00A264A9"/>
    <w:rsid w:val="00A27785"/>
    <w:rsid w:val="00A30187"/>
    <w:rsid w:val="00A334E9"/>
    <w:rsid w:val="00A33D31"/>
    <w:rsid w:val="00A34259"/>
    <w:rsid w:val="00A3448A"/>
    <w:rsid w:val="00A3462B"/>
    <w:rsid w:val="00A3495D"/>
    <w:rsid w:val="00A34C6C"/>
    <w:rsid w:val="00A35B95"/>
    <w:rsid w:val="00A35EB1"/>
    <w:rsid w:val="00A361AE"/>
    <w:rsid w:val="00A36297"/>
    <w:rsid w:val="00A36B87"/>
    <w:rsid w:val="00A3703F"/>
    <w:rsid w:val="00A370CE"/>
    <w:rsid w:val="00A37400"/>
    <w:rsid w:val="00A40822"/>
    <w:rsid w:val="00A41E2B"/>
    <w:rsid w:val="00A43449"/>
    <w:rsid w:val="00A440D0"/>
    <w:rsid w:val="00A45B74"/>
    <w:rsid w:val="00A46150"/>
    <w:rsid w:val="00A463FD"/>
    <w:rsid w:val="00A47976"/>
    <w:rsid w:val="00A47EB9"/>
    <w:rsid w:val="00A508E6"/>
    <w:rsid w:val="00A50C42"/>
    <w:rsid w:val="00A50C86"/>
    <w:rsid w:val="00A511F1"/>
    <w:rsid w:val="00A51C90"/>
    <w:rsid w:val="00A52ADC"/>
    <w:rsid w:val="00A52E1D"/>
    <w:rsid w:val="00A535DE"/>
    <w:rsid w:val="00A55477"/>
    <w:rsid w:val="00A556DD"/>
    <w:rsid w:val="00A55833"/>
    <w:rsid w:val="00A55940"/>
    <w:rsid w:val="00A55BE6"/>
    <w:rsid w:val="00A561D4"/>
    <w:rsid w:val="00A56825"/>
    <w:rsid w:val="00A576DB"/>
    <w:rsid w:val="00A57C30"/>
    <w:rsid w:val="00A60A02"/>
    <w:rsid w:val="00A60C72"/>
    <w:rsid w:val="00A61499"/>
    <w:rsid w:val="00A61C8C"/>
    <w:rsid w:val="00A61F4F"/>
    <w:rsid w:val="00A62599"/>
    <w:rsid w:val="00A62617"/>
    <w:rsid w:val="00A62A77"/>
    <w:rsid w:val="00A63483"/>
    <w:rsid w:val="00A64A51"/>
    <w:rsid w:val="00A64FE8"/>
    <w:rsid w:val="00A657D7"/>
    <w:rsid w:val="00A660AC"/>
    <w:rsid w:val="00A67645"/>
    <w:rsid w:val="00A67664"/>
    <w:rsid w:val="00A67E6C"/>
    <w:rsid w:val="00A704BC"/>
    <w:rsid w:val="00A708C2"/>
    <w:rsid w:val="00A70F68"/>
    <w:rsid w:val="00A71209"/>
    <w:rsid w:val="00A712D9"/>
    <w:rsid w:val="00A7175B"/>
    <w:rsid w:val="00A71B99"/>
    <w:rsid w:val="00A72324"/>
    <w:rsid w:val="00A732CB"/>
    <w:rsid w:val="00A739D0"/>
    <w:rsid w:val="00A74684"/>
    <w:rsid w:val="00A746B4"/>
    <w:rsid w:val="00A76078"/>
    <w:rsid w:val="00A761D4"/>
    <w:rsid w:val="00A76593"/>
    <w:rsid w:val="00A76F0A"/>
    <w:rsid w:val="00A7730D"/>
    <w:rsid w:val="00A77EC4"/>
    <w:rsid w:val="00A80589"/>
    <w:rsid w:val="00A81292"/>
    <w:rsid w:val="00A81F3B"/>
    <w:rsid w:val="00A82158"/>
    <w:rsid w:val="00A82DC8"/>
    <w:rsid w:val="00A8320B"/>
    <w:rsid w:val="00A838B0"/>
    <w:rsid w:val="00A83E00"/>
    <w:rsid w:val="00A84D6B"/>
    <w:rsid w:val="00A8555A"/>
    <w:rsid w:val="00A85AB7"/>
    <w:rsid w:val="00A86750"/>
    <w:rsid w:val="00A86819"/>
    <w:rsid w:val="00A87E69"/>
    <w:rsid w:val="00A9076B"/>
    <w:rsid w:val="00A91428"/>
    <w:rsid w:val="00A92331"/>
    <w:rsid w:val="00A92879"/>
    <w:rsid w:val="00A92BEC"/>
    <w:rsid w:val="00A92CEE"/>
    <w:rsid w:val="00A93EA4"/>
    <w:rsid w:val="00A9442A"/>
    <w:rsid w:val="00A94CA8"/>
    <w:rsid w:val="00A950B4"/>
    <w:rsid w:val="00A96417"/>
    <w:rsid w:val="00A9644E"/>
    <w:rsid w:val="00A96AE1"/>
    <w:rsid w:val="00A9764F"/>
    <w:rsid w:val="00AA016F"/>
    <w:rsid w:val="00AA0B96"/>
    <w:rsid w:val="00AA1566"/>
    <w:rsid w:val="00AA1ED6"/>
    <w:rsid w:val="00AA2999"/>
    <w:rsid w:val="00AA2F6B"/>
    <w:rsid w:val="00AA33DF"/>
    <w:rsid w:val="00AA35B9"/>
    <w:rsid w:val="00AA505F"/>
    <w:rsid w:val="00AA51D6"/>
    <w:rsid w:val="00AA5231"/>
    <w:rsid w:val="00AA697A"/>
    <w:rsid w:val="00AB0BC8"/>
    <w:rsid w:val="00AB0C29"/>
    <w:rsid w:val="00AB11CA"/>
    <w:rsid w:val="00AB14D9"/>
    <w:rsid w:val="00AB3D6D"/>
    <w:rsid w:val="00AB44C8"/>
    <w:rsid w:val="00AB4AB8"/>
    <w:rsid w:val="00AB4B78"/>
    <w:rsid w:val="00AB4E48"/>
    <w:rsid w:val="00AB655E"/>
    <w:rsid w:val="00AB6AF7"/>
    <w:rsid w:val="00AB6FC4"/>
    <w:rsid w:val="00AC007F"/>
    <w:rsid w:val="00AC054B"/>
    <w:rsid w:val="00AC1FBF"/>
    <w:rsid w:val="00AC2683"/>
    <w:rsid w:val="00AC2ECD"/>
    <w:rsid w:val="00AC3028"/>
    <w:rsid w:val="00AC3119"/>
    <w:rsid w:val="00AC3741"/>
    <w:rsid w:val="00AC4454"/>
    <w:rsid w:val="00AC49FB"/>
    <w:rsid w:val="00AC5A10"/>
    <w:rsid w:val="00AC66EF"/>
    <w:rsid w:val="00AC6DE7"/>
    <w:rsid w:val="00AC717E"/>
    <w:rsid w:val="00AC7F4A"/>
    <w:rsid w:val="00AD0642"/>
    <w:rsid w:val="00AD0AA3"/>
    <w:rsid w:val="00AD0ECF"/>
    <w:rsid w:val="00AD10DE"/>
    <w:rsid w:val="00AD1425"/>
    <w:rsid w:val="00AD231C"/>
    <w:rsid w:val="00AD2607"/>
    <w:rsid w:val="00AD376A"/>
    <w:rsid w:val="00AD380B"/>
    <w:rsid w:val="00AD3F94"/>
    <w:rsid w:val="00AD46C5"/>
    <w:rsid w:val="00AD4A5A"/>
    <w:rsid w:val="00AD55E9"/>
    <w:rsid w:val="00AD59C5"/>
    <w:rsid w:val="00AD5ED5"/>
    <w:rsid w:val="00AD649B"/>
    <w:rsid w:val="00AD6689"/>
    <w:rsid w:val="00AD672A"/>
    <w:rsid w:val="00AD7975"/>
    <w:rsid w:val="00AD7AB4"/>
    <w:rsid w:val="00AD7B2A"/>
    <w:rsid w:val="00AD7FE9"/>
    <w:rsid w:val="00AE0148"/>
    <w:rsid w:val="00AE032F"/>
    <w:rsid w:val="00AE087B"/>
    <w:rsid w:val="00AE0C32"/>
    <w:rsid w:val="00AE1FA7"/>
    <w:rsid w:val="00AE23D8"/>
    <w:rsid w:val="00AE27AC"/>
    <w:rsid w:val="00AE2A2A"/>
    <w:rsid w:val="00AE3167"/>
    <w:rsid w:val="00AE3A70"/>
    <w:rsid w:val="00AE3FBA"/>
    <w:rsid w:val="00AE40E0"/>
    <w:rsid w:val="00AE4807"/>
    <w:rsid w:val="00AE4DBA"/>
    <w:rsid w:val="00AE4F07"/>
    <w:rsid w:val="00AE6330"/>
    <w:rsid w:val="00AE63AB"/>
    <w:rsid w:val="00AE7351"/>
    <w:rsid w:val="00AE7A81"/>
    <w:rsid w:val="00AF0508"/>
    <w:rsid w:val="00AF10A2"/>
    <w:rsid w:val="00AF11C2"/>
    <w:rsid w:val="00AF130C"/>
    <w:rsid w:val="00AF1A19"/>
    <w:rsid w:val="00AF1C5D"/>
    <w:rsid w:val="00AF1CCC"/>
    <w:rsid w:val="00AF263D"/>
    <w:rsid w:val="00AF2A13"/>
    <w:rsid w:val="00AF2B22"/>
    <w:rsid w:val="00AF321C"/>
    <w:rsid w:val="00AF3610"/>
    <w:rsid w:val="00AF42D7"/>
    <w:rsid w:val="00AF5570"/>
    <w:rsid w:val="00AF5BA7"/>
    <w:rsid w:val="00AF78ED"/>
    <w:rsid w:val="00AF7B02"/>
    <w:rsid w:val="00AF7B0B"/>
    <w:rsid w:val="00B006FE"/>
    <w:rsid w:val="00B007CB"/>
    <w:rsid w:val="00B00A30"/>
    <w:rsid w:val="00B00AF4"/>
    <w:rsid w:val="00B010B2"/>
    <w:rsid w:val="00B0210E"/>
    <w:rsid w:val="00B0248E"/>
    <w:rsid w:val="00B02549"/>
    <w:rsid w:val="00B02AA9"/>
    <w:rsid w:val="00B02FA3"/>
    <w:rsid w:val="00B0324F"/>
    <w:rsid w:val="00B04DF3"/>
    <w:rsid w:val="00B05084"/>
    <w:rsid w:val="00B06158"/>
    <w:rsid w:val="00B061FD"/>
    <w:rsid w:val="00B07618"/>
    <w:rsid w:val="00B07BB5"/>
    <w:rsid w:val="00B101E0"/>
    <w:rsid w:val="00B10B1E"/>
    <w:rsid w:val="00B11B2B"/>
    <w:rsid w:val="00B12115"/>
    <w:rsid w:val="00B12DA0"/>
    <w:rsid w:val="00B130C7"/>
    <w:rsid w:val="00B133D4"/>
    <w:rsid w:val="00B137D3"/>
    <w:rsid w:val="00B13A5F"/>
    <w:rsid w:val="00B14B33"/>
    <w:rsid w:val="00B157F9"/>
    <w:rsid w:val="00B162FE"/>
    <w:rsid w:val="00B16375"/>
    <w:rsid w:val="00B16CC7"/>
    <w:rsid w:val="00B1755C"/>
    <w:rsid w:val="00B17728"/>
    <w:rsid w:val="00B2016D"/>
    <w:rsid w:val="00B20256"/>
    <w:rsid w:val="00B20938"/>
    <w:rsid w:val="00B20D09"/>
    <w:rsid w:val="00B20E36"/>
    <w:rsid w:val="00B21270"/>
    <w:rsid w:val="00B22F8F"/>
    <w:rsid w:val="00B235D8"/>
    <w:rsid w:val="00B2468A"/>
    <w:rsid w:val="00B248B0"/>
    <w:rsid w:val="00B26318"/>
    <w:rsid w:val="00B26E0D"/>
    <w:rsid w:val="00B2741E"/>
    <w:rsid w:val="00B2763F"/>
    <w:rsid w:val="00B27A16"/>
    <w:rsid w:val="00B27AAC"/>
    <w:rsid w:val="00B30882"/>
    <w:rsid w:val="00B30929"/>
    <w:rsid w:val="00B30E25"/>
    <w:rsid w:val="00B32830"/>
    <w:rsid w:val="00B33221"/>
    <w:rsid w:val="00B341FA"/>
    <w:rsid w:val="00B34220"/>
    <w:rsid w:val="00B34340"/>
    <w:rsid w:val="00B34BAC"/>
    <w:rsid w:val="00B34C44"/>
    <w:rsid w:val="00B360A3"/>
    <w:rsid w:val="00B368D6"/>
    <w:rsid w:val="00B36940"/>
    <w:rsid w:val="00B36DED"/>
    <w:rsid w:val="00B36F91"/>
    <w:rsid w:val="00B372AA"/>
    <w:rsid w:val="00B37595"/>
    <w:rsid w:val="00B375E8"/>
    <w:rsid w:val="00B40445"/>
    <w:rsid w:val="00B40CE3"/>
    <w:rsid w:val="00B41888"/>
    <w:rsid w:val="00B419A4"/>
    <w:rsid w:val="00B422E5"/>
    <w:rsid w:val="00B4277C"/>
    <w:rsid w:val="00B42E1A"/>
    <w:rsid w:val="00B42F4F"/>
    <w:rsid w:val="00B42FC7"/>
    <w:rsid w:val="00B43805"/>
    <w:rsid w:val="00B4388A"/>
    <w:rsid w:val="00B453F7"/>
    <w:rsid w:val="00B45848"/>
    <w:rsid w:val="00B45A52"/>
    <w:rsid w:val="00B45FBF"/>
    <w:rsid w:val="00B46175"/>
    <w:rsid w:val="00B4617A"/>
    <w:rsid w:val="00B462A3"/>
    <w:rsid w:val="00B4633B"/>
    <w:rsid w:val="00B4681A"/>
    <w:rsid w:val="00B47B4C"/>
    <w:rsid w:val="00B50005"/>
    <w:rsid w:val="00B51415"/>
    <w:rsid w:val="00B51EB2"/>
    <w:rsid w:val="00B52309"/>
    <w:rsid w:val="00B52E6D"/>
    <w:rsid w:val="00B53E81"/>
    <w:rsid w:val="00B54C41"/>
    <w:rsid w:val="00B557B9"/>
    <w:rsid w:val="00B575C8"/>
    <w:rsid w:val="00B6253B"/>
    <w:rsid w:val="00B6329B"/>
    <w:rsid w:val="00B64174"/>
    <w:rsid w:val="00B64EBC"/>
    <w:rsid w:val="00B664B2"/>
    <w:rsid w:val="00B664C7"/>
    <w:rsid w:val="00B67327"/>
    <w:rsid w:val="00B67683"/>
    <w:rsid w:val="00B706E4"/>
    <w:rsid w:val="00B726F8"/>
    <w:rsid w:val="00B72B90"/>
    <w:rsid w:val="00B7321D"/>
    <w:rsid w:val="00B7374C"/>
    <w:rsid w:val="00B739F6"/>
    <w:rsid w:val="00B751E7"/>
    <w:rsid w:val="00B76C86"/>
    <w:rsid w:val="00B8093E"/>
    <w:rsid w:val="00B81A6C"/>
    <w:rsid w:val="00B82679"/>
    <w:rsid w:val="00B83E0E"/>
    <w:rsid w:val="00B83F81"/>
    <w:rsid w:val="00B84C8A"/>
    <w:rsid w:val="00B85068"/>
    <w:rsid w:val="00B850CF"/>
    <w:rsid w:val="00B85DE5"/>
    <w:rsid w:val="00B868D9"/>
    <w:rsid w:val="00B869D5"/>
    <w:rsid w:val="00B8702C"/>
    <w:rsid w:val="00B876F7"/>
    <w:rsid w:val="00B90F73"/>
    <w:rsid w:val="00B914B1"/>
    <w:rsid w:val="00B91E15"/>
    <w:rsid w:val="00B92937"/>
    <w:rsid w:val="00B93B59"/>
    <w:rsid w:val="00B9406A"/>
    <w:rsid w:val="00B94416"/>
    <w:rsid w:val="00B94DC2"/>
    <w:rsid w:val="00B958C6"/>
    <w:rsid w:val="00B9597F"/>
    <w:rsid w:val="00B95DE6"/>
    <w:rsid w:val="00B960D7"/>
    <w:rsid w:val="00B96688"/>
    <w:rsid w:val="00B97643"/>
    <w:rsid w:val="00BA0E3A"/>
    <w:rsid w:val="00BA131A"/>
    <w:rsid w:val="00BA17E3"/>
    <w:rsid w:val="00BA202E"/>
    <w:rsid w:val="00BA2280"/>
    <w:rsid w:val="00BA2789"/>
    <w:rsid w:val="00BA2A08"/>
    <w:rsid w:val="00BA2C9A"/>
    <w:rsid w:val="00BA33AB"/>
    <w:rsid w:val="00BA541A"/>
    <w:rsid w:val="00BA56D2"/>
    <w:rsid w:val="00BA5FBB"/>
    <w:rsid w:val="00BA67BF"/>
    <w:rsid w:val="00BA76E0"/>
    <w:rsid w:val="00BA79A8"/>
    <w:rsid w:val="00BA7C4F"/>
    <w:rsid w:val="00BB03BC"/>
    <w:rsid w:val="00BB07CA"/>
    <w:rsid w:val="00BB096D"/>
    <w:rsid w:val="00BB0A3F"/>
    <w:rsid w:val="00BB0B8A"/>
    <w:rsid w:val="00BB20CE"/>
    <w:rsid w:val="00BB2A25"/>
    <w:rsid w:val="00BB2C8A"/>
    <w:rsid w:val="00BB2CB5"/>
    <w:rsid w:val="00BB3C1A"/>
    <w:rsid w:val="00BB4706"/>
    <w:rsid w:val="00BB51E9"/>
    <w:rsid w:val="00BB749F"/>
    <w:rsid w:val="00BC0757"/>
    <w:rsid w:val="00BC0A17"/>
    <w:rsid w:val="00BC0A58"/>
    <w:rsid w:val="00BC0FDC"/>
    <w:rsid w:val="00BC2371"/>
    <w:rsid w:val="00BC27FE"/>
    <w:rsid w:val="00BC3053"/>
    <w:rsid w:val="00BC33DC"/>
    <w:rsid w:val="00BC3A97"/>
    <w:rsid w:val="00BC3F27"/>
    <w:rsid w:val="00BC4197"/>
    <w:rsid w:val="00BC43CB"/>
    <w:rsid w:val="00BC4D2E"/>
    <w:rsid w:val="00BC527E"/>
    <w:rsid w:val="00BC53BB"/>
    <w:rsid w:val="00BC665D"/>
    <w:rsid w:val="00BC6E83"/>
    <w:rsid w:val="00BC7378"/>
    <w:rsid w:val="00BD117B"/>
    <w:rsid w:val="00BD1B32"/>
    <w:rsid w:val="00BD30FE"/>
    <w:rsid w:val="00BD3992"/>
    <w:rsid w:val="00BD39B8"/>
    <w:rsid w:val="00BD41BB"/>
    <w:rsid w:val="00BD4278"/>
    <w:rsid w:val="00BD48AC"/>
    <w:rsid w:val="00BD53A8"/>
    <w:rsid w:val="00BD5F1A"/>
    <w:rsid w:val="00BD6C68"/>
    <w:rsid w:val="00BD6EA1"/>
    <w:rsid w:val="00BE0E13"/>
    <w:rsid w:val="00BE1234"/>
    <w:rsid w:val="00BE12E2"/>
    <w:rsid w:val="00BE2FA6"/>
    <w:rsid w:val="00BE333F"/>
    <w:rsid w:val="00BE3663"/>
    <w:rsid w:val="00BE3DC0"/>
    <w:rsid w:val="00BE531C"/>
    <w:rsid w:val="00BE569B"/>
    <w:rsid w:val="00BE73B3"/>
    <w:rsid w:val="00BE7406"/>
    <w:rsid w:val="00BE7603"/>
    <w:rsid w:val="00BF1596"/>
    <w:rsid w:val="00BF1863"/>
    <w:rsid w:val="00BF3279"/>
    <w:rsid w:val="00BF3A4B"/>
    <w:rsid w:val="00BF3C7F"/>
    <w:rsid w:val="00BF3E4F"/>
    <w:rsid w:val="00BF69FD"/>
    <w:rsid w:val="00BF6D4F"/>
    <w:rsid w:val="00BF6F3D"/>
    <w:rsid w:val="00BF74C7"/>
    <w:rsid w:val="00C00985"/>
    <w:rsid w:val="00C01470"/>
    <w:rsid w:val="00C015F1"/>
    <w:rsid w:val="00C01F33"/>
    <w:rsid w:val="00C02AF1"/>
    <w:rsid w:val="00C02CC6"/>
    <w:rsid w:val="00C02EA0"/>
    <w:rsid w:val="00C0339B"/>
    <w:rsid w:val="00C03A02"/>
    <w:rsid w:val="00C03AB0"/>
    <w:rsid w:val="00C040F7"/>
    <w:rsid w:val="00C044AB"/>
    <w:rsid w:val="00C044DB"/>
    <w:rsid w:val="00C04BB6"/>
    <w:rsid w:val="00C053F0"/>
    <w:rsid w:val="00C05573"/>
    <w:rsid w:val="00C05706"/>
    <w:rsid w:val="00C057C7"/>
    <w:rsid w:val="00C057D5"/>
    <w:rsid w:val="00C05DC1"/>
    <w:rsid w:val="00C0687F"/>
    <w:rsid w:val="00C069DD"/>
    <w:rsid w:val="00C07377"/>
    <w:rsid w:val="00C10478"/>
    <w:rsid w:val="00C106CA"/>
    <w:rsid w:val="00C12107"/>
    <w:rsid w:val="00C1268D"/>
    <w:rsid w:val="00C129A9"/>
    <w:rsid w:val="00C14D4B"/>
    <w:rsid w:val="00C15176"/>
    <w:rsid w:val="00C152E2"/>
    <w:rsid w:val="00C154BB"/>
    <w:rsid w:val="00C15ABD"/>
    <w:rsid w:val="00C177CB"/>
    <w:rsid w:val="00C20E12"/>
    <w:rsid w:val="00C21759"/>
    <w:rsid w:val="00C23725"/>
    <w:rsid w:val="00C245EC"/>
    <w:rsid w:val="00C279B5"/>
    <w:rsid w:val="00C27BFA"/>
    <w:rsid w:val="00C27C45"/>
    <w:rsid w:val="00C30119"/>
    <w:rsid w:val="00C30250"/>
    <w:rsid w:val="00C3028A"/>
    <w:rsid w:val="00C30694"/>
    <w:rsid w:val="00C30D3D"/>
    <w:rsid w:val="00C31F99"/>
    <w:rsid w:val="00C32A44"/>
    <w:rsid w:val="00C32D7E"/>
    <w:rsid w:val="00C3354C"/>
    <w:rsid w:val="00C351DF"/>
    <w:rsid w:val="00C3576C"/>
    <w:rsid w:val="00C36615"/>
    <w:rsid w:val="00C3719D"/>
    <w:rsid w:val="00C3772D"/>
    <w:rsid w:val="00C37785"/>
    <w:rsid w:val="00C3798A"/>
    <w:rsid w:val="00C37BDF"/>
    <w:rsid w:val="00C37D38"/>
    <w:rsid w:val="00C407AA"/>
    <w:rsid w:val="00C41779"/>
    <w:rsid w:val="00C42038"/>
    <w:rsid w:val="00C452C8"/>
    <w:rsid w:val="00C46D47"/>
    <w:rsid w:val="00C46DA4"/>
    <w:rsid w:val="00C479BD"/>
    <w:rsid w:val="00C5017F"/>
    <w:rsid w:val="00C501E8"/>
    <w:rsid w:val="00C516E0"/>
    <w:rsid w:val="00C52FB3"/>
    <w:rsid w:val="00C530BA"/>
    <w:rsid w:val="00C5321F"/>
    <w:rsid w:val="00C54371"/>
    <w:rsid w:val="00C54696"/>
    <w:rsid w:val="00C54995"/>
    <w:rsid w:val="00C54D41"/>
    <w:rsid w:val="00C5511E"/>
    <w:rsid w:val="00C554CF"/>
    <w:rsid w:val="00C5679B"/>
    <w:rsid w:val="00C567D6"/>
    <w:rsid w:val="00C574F4"/>
    <w:rsid w:val="00C60288"/>
    <w:rsid w:val="00C60681"/>
    <w:rsid w:val="00C60783"/>
    <w:rsid w:val="00C60F6D"/>
    <w:rsid w:val="00C61714"/>
    <w:rsid w:val="00C62AD8"/>
    <w:rsid w:val="00C63041"/>
    <w:rsid w:val="00C64672"/>
    <w:rsid w:val="00C6532F"/>
    <w:rsid w:val="00C65D33"/>
    <w:rsid w:val="00C66181"/>
    <w:rsid w:val="00C66B28"/>
    <w:rsid w:val="00C67775"/>
    <w:rsid w:val="00C678F7"/>
    <w:rsid w:val="00C70628"/>
    <w:rsid w:val="00C70697"/>
    <w:rsid w:val="00C71002"/>
    <w:rsid w:val="00C71A92"/>
    <w:rsid w:val="00C72735"/>
    <w:rsid w:val="00C72EF4"/>
    <w:rsid w:val="00C732D6"/>
    <w:rsid w:val="00C73B8D"/>
    <w:rsid w:val="00C74B02"/>
    <w:rsid w:val="00C75D2F"/>
    <w:rsid w:val="00C765EC"/>
    <w:rsid w:val="00C767BE"/>
    <w:rsid w:val="00C76E3C"/>
    <w:rsid w:val="00C77571"/>
    <w:rsid w:val="00C77596"/>
    <w:rsid w:val="00C809F0"/>
    <w:rsid w:val="00C80D1A"/>
    <w:rsid w:val="00C81568"/>
    <w:rsid w:val="00C826C9"/>
    <w:rsid w:val="00C83478"/>
    <w:rsid w:val="00C83C13"/>
    <w:rsid w:val="00C844B9"/>
    <w:rsid w:val="00C845F3"/>
    <w:rsid w:val="00C84DB1"/>
    <w:rsid w:val="00C85924"/>
    <w:rsid w:val="00C8603B"/>
    <w:rsid w:val="00C87CDD"/>
    <w:rsid w:val="00C9027A"/>
    <w:rsid w:val="00C9068E"/>
    <w:rsid w:val="00C9135C"/>
    <w:rsid w:val="00C918CC"/>
    <w:rsid w:val="00C91A6F"/>
    <w:rsid w:val="00C92316"/>
    <w:rsid w:val="00C92CC2"/>
    <w:rsid w:val="00C930F0"/>
    <w:rsid w:val="00C93C4B"/>
    <w:rsid w:val="00C944AB"/>
    <w:rsid w:val="00C9459D"/>
    <w:rsid w:val="00C9512F"/>
    <w:rsid w:val="00C95B40"/>
    <w:rsid w:val="00C964D9"/>
    <w:rsid w:val="00C96C6A"/>
    <w:rsid w:val="00CA02E0"/>
    <w:rsid w:val="00CA1751"/>
    <w:rsid w:val="00CA1ED8"/>
    <w:rsid w:val="00CA33F2"/>
    <w:rsid w:val="00CA3604"/>
    <w:rsid w:val="00CA3923"/>
    <w:rsid w:val="00CA50C4"/>
    <w:rsid w:val="00CA618F"/>
    <w:rsid w:val="00CA6AE6"/>
    <w:rsid w:val="00CB0076"/>
    <w:rsid w:val="00CB00AD"/>
    <w:rsid w:val="00CB030C"/>
    <w:rsid w:val="00CB05AB"/>
    <w:rsid w:val="00CB1239"/>
    <w:rsid w:val="00CB1460"/>
    <w:rsid w:val="00CB1F63"/>
    <w:rsid w:val="00CB2107"/>
    <w:rsid w:val="00CB2D86"/>
    <w:rsid w:val="00CB2E73"/>
    <w:rsid w:val="00CB2F97"/>
    <w:rsid w:val="00CB4738"/>
    <w:rsid w:val="00CB509C"/>
    <w:rsid w:val="00CB5575"/>
    <w:rsid w:val="00CB6133"/>
    <w:rsid w:val="00CB63B7"/>
    <w:rsid w:val="00CB6A13"/>
    <w:rsid w:val="00CB6EF7"/>
    <w:rsid w:val="00CB7170"/>
    <w:rsid w:val="00CB799E"/>
    <w:rsid w:val="00CC040E"/>
    <w:rsid w:val="00CC0C05"/>
    <w:rsid w:val="00CC111F"/>
    <w:rsid w:val="00CC1491"/>
    <w:rsid w:val="00CC1EBF"/>
    <w:rsid w:val="00CC2011"/>
    <w:rsid w:val="00CC377A"/>
    <w:rsid w:val="00CC38A6"/>
    <w:rsid w:val="00CC3EA0"/>
    <w:rsid w:val="00CC41CC"/>
    <w:rsid w:val="00CC426A"/>
    <w:rsid w:val="00CC517F"/>
    <w:rsid w:val="00CC7B45"/>
    <w:rsid w:val="00CD06B7"/>
    <w:rsid w:val="00CD1188"/>
    <w:rsid w:val="00CD1303"/>
    <w:rsid w:val="00CD1398"/>
    <w:rsid w:val="00CD16B1"/>
    <w:rsid w:val="00CD2ED1"/>
    <w:rsid w:val="00CD306C"/>
    <w:rsid w:val="00CD337B"/>
    <w:rsid w:val="00CD362A"/>
    <w:rsid w:val="00CD3A1F"/>
    <w:rsid w:val="00CD3A8F"/>
    <w:rsid w:val="00CD5538"/>
    <w:rsid w:val="00CD5787"/>
    <w:rsid w:val="00CD752F"/>
    <w:rsid w:val="00CD7701"/>
    <w:rsid w:val="00CE0404"/>
    <w:rsid w:val="00CE0424"/>
    <w:rsid w:val="00CE14EA"/>
    <w:rsid w:val="00CE3D62"/>
    <w:rsid w:val="00CE4EBA"/>
    <w:rsid w:val="00CE6231"/>
    <w:rsid w:val="00CE6539"/>
    <w:rsid w:val="00CE7316"/>
    <w:rsid w:val="00CE7561"/>
    <w:rsid w:val="00CE7603"/>
    <w:rsid w:val="00CE7757"/>
    <w:rsid w:val="00CE7BD9"/>
    <w:rsid w:val="00CF1354"/>
    <w:rsid w:val="00CF3B1F"/>
    <w:rsid w:val="00CF3BF6"/>
    <w:rsid w:val="00CF3DC4"/>
    <w:rsid w:val="00CF5E1D"/>
    <w:rsid w:val="00CF625B"/>
    <w:rsid w:val="00CF644F"/>
    <w:rsid w:val="00CF687E"/>
    <w:rsid w:val="00CF6AAF"/>
    <w:rsid w:val="00CF72CE"/>
    <w:rsid w:val="00CF7F53"/>
    <w:rsid w:val="00D007D6"/>
    <w:rsid w:val="00D00D32"/>
    <w:rsid w:val="00D0226B"/>
    <w:rsid w:val="00D0250A"/>
    <w:rsid w:val="00D02520"/>
    <w:rsid w:val="00D02C0E"/>
    <w:rsid w:val="00D0349B"/>
    <w:rsid w:val="00D04864"/>
    <w:rsid w:val="00D04AAE"/>
    <w:rsid w:val="00D04C3C"/>
    <w:rsid w:val="00D0605A"/>
    <w:rsid w:val="00D06472"/>
    <w:rsid w:val="00D07311"/>
    <w:rsid w:val="00D0742D"/>
    <w:rsid w:val="00D07B2D"/>
    <w:rsid w:val="00D10249"/>
    <w:rsid w:val="00D10988"/>
    <w:rsid w:val="00D10AD3"/>
    <w:rsid w:val="00D10D23"/>
    <w:rsid w:val="00D11004"/>
    <w:rsid w:val="00D115C3"/>
    <w:rsid w:val="00D11637"/>
    <w:rsid w:val="00D116A8"/>
    <w:rsid w:val="00D1182D"/>
    <w:rsid w:val="00D11897"/>
    <w:rsid w:val="00D11B70"/>
    <w:rsid w:val="00D13135"/>
    <w:rsid w:val="00D13E4E"/>
    <w:rsid w:val="00D140A6"/>
    <w:rsid w:val="00D14DC1"/>
    <w:rsid w:val="00D152CA"/>
    <w:rsid w:val="00D1777E"/>
    <w:rsid w:val="00D21230"/>
    <w:rsid w:val="00D21EF7"/>
    <w:rsid w:val="00D22223"/>
    <w:rsid w:val="00D2232E"/>
    <w:rsid w:val="00D22540"/>
    <w:rsid w:val="00D23191"/>
    <w:rsid w:val="00D239A7"/>
    <w:rsid w:val="00D23B39"/>
    <w:rsid w:val="00D23F47"/>
    <w:rsid w:val="00D241F3"/>
    <w:rsid w:val="00D24445"/>
    <w:rsid w:val="00D25216"/>
    <w:rsid w:val="00D25268"/>
    <w:rsid w:val="00D25DA8"/>
    <w:rsid w:val="00D25FB2"/>
    <w:rsid w:val="00D262F7"/>
    <w:rsid w:val="00D27185"/>
    <w:rsid w:val="00D31A00"/>
    <w:rsid w:val="00D329D3"/>
    <w:rsid w:val="00D3346B"/>
    <w:rsid w:val="00D33E14"/>
    <w:rsid w:val="00D34123"/>
    <w:rsid w:val="00D349D0"/>
    <w:rsid w:val="00D35CB2"/>
    <w:rsid w:val="00D36E71"/>
    <w:rsid w:val="00D37D87"/>
    <w:rsid w:val="00D408EB"/>
    <w:rsid w:val="00D40A3F"/>
    <w:rsid w:val="00D40B33"/>
    <w:rsid w:val="00D41221"/>
    <w:rsid w:val="00D42EFC"/>
    <w:rsid w:val="00D4318F"/>
    <w:rsid w:val="00D43760"/>
    <w:rsid w:val="00D438BF"/>
    <w:rsid w:val="00D43E89"/>
    <w:rsid w:val="00D440F8"/>
    <w:rsid w:val="00D440FA"/>
    <w:rsid w:val="00D451B3"/>
    <w:rsid w:val="00D46A76"/>
    <w:rsid w:val="00D46F45"/>
    <w:rsid w:val="00D4760B"/>
    <w:rsid w:val="00D47DBF"/>
    <w:rsid w:val="00D47E17"/>
    <w:rsid w:val="00D50409"/>
    <w:rsid w:val="00D50EFF"/>
    <w:rsid w:val="00D51DB6"/>
    <w:rsid w:val="00D526CB"/>
    <w:rsid w:val="00D52C89"/>
    <w:rsid w:val="00D546FF"/>
    <w:rsid w:val="00D54C6A"/>
    <w:rsid w:val="00D54DB6"/>
    <w:rsid w:val="00D55AD5"/>
    <w:rsid w:val="00D55BA1"/>
    <w:rsid w:val="00D56460"/>
    <w:rsid w:val="00D5694B"/>
    <w:rsid w:val="00D5752F"/>
    <w:rsid w:val="00D576CA"/>
    <w:rsid w:val="00D619B4"/>
    <w:rsid w:val="00D61AF5"/>
    <w:rsid w:val="00D61C6E"/>
    <w:rsid w:val="00D6331A"/>
    <w:rsid w:val="00D63714"/>
    <w:rsid w:val="00D64B0D"/>
    <w:rsid w:val="00D652B5"/>
    <w:rsid w:val="00D65796"/>
    <w:rsid w:val="00D65DB1"/>
    <w:rsid w:val="00D66155"/>
    <w:rsid w:val="00D6691F"/>
    <w:rsid w:val="00D708B0"/>
    <w:rsid w:val="00D70A8C"/>
    <w:rsid w:val="00D720EE"/>
    <w:rsid w:val="00D7275A"/>
    <w:rsid w:val="00D72E76"/>
    <w:rsid w:val="00D72FCF"/>
    <w:rsid w:val="00D73E1F"/>
    <w:rsid w:val="00D7558A"/>
    <w:rsid w:val="00D75BF5"/>
    <w:rsid w:val="00D75F42"/>
    <w:rsid w:val="00D77407"/>
    <w:rsid w:val="00D77B1D"/>
    <w:rsid w:val="00D8021F"/>
    <w:rsid w:val="00D80383"/>
    <w:rsid w:val="00D82092"/>
    <w:rsid w:val="00D821CE"/>
    <w:rsid w:val="00D823C6"/>
    <w:rsid w:val="00D83031"/>
    <w:rsid w:val="00D8441C"/>
    <w:rsid w:val="00D854BE"/>
    <w:rsid w:val="00D85BD2"/>
    <w:rsid w:val="00D8692D"/>
    <w:rsid w:val="00D86A64"/>
    <w:rsid w:val="00D86B5D"/>
    <w:rsid w:val="00D86CA3"/>
    <w:rsid w:val="00D86D18"/>
    <w:rsid w:val="00D871CE"/>
    <w:rsid w:val="00D87B5E"/>
    <w:rsid w:val="00D90275"/>
    <w:rsid w:val="00D9109E"/>
    <w:rsid w:val="00D9196D"/>
    <w:rsid w:val="00D91F4C"/>
    <w:rsid w:val="00D9226D"/>
    <w:rsid w:val="00D922BF"/>
    <w:rsid w:val="00D92636"/>
    <w:rsid w:val="00D92982"/>
    <w:rsid w:val="00D92CCB"/>
    <w:rsid w:val="00D93FA9"/>
    <w:rsid w:val="00D9453C"/>
    <w:rsid w:val="00D95118"/>
    <w:rsid w:val="00D95C9D"/>
    <w:rsid w:val="00D96FDD"/>
    <w:rsid w:val="00D974FB"/>
    <w:rsid w:val="00D97F35"/>
    <w:rsid w:val="00DA0039"/>
    <w:rsid w:val="00DA0890"/>
    <w:rsid w:val="00DA0AD9"/>
    <w:rsid w:val="00DA1B30"/>
    <w:rsid w:val="00DA1EB0"/>
    <w:rsid w:val="00DA2FE4"/>
    <w:rsid w:val="00DA305E"/>
    <w:rsid w:val="00DA33E2"/>
    <w:rsid w:val="00DA4D9D"/>
    <w:rsid w:val="00DA5417"/>
    <w:rsid w:val="00DA56E8"/>
    <w:rsid w:val="00DA5778"/>
    <w:rsid w:val="00DA5ED8"/>
    <w:rsid w:val="00DA63E6"/>
    <w:rsid w:val="00DA673D"/>
    <w:rsid w:val="00DB0314"/>
    <w:rsid w:val="00DB0A9F"/>
    <w:rsid w:val="00DB19F7"/>
    <w:rsid w:val="00DB3185"/>
    <w:rsid w:val="00DB327F"/>
    <w:rsid w:val="00DB377D"/>
    <w:rsid w:val="00DB4C83"/>
    <w:rsid w:val="00DB4F0B"/>
    <w:rsid w:val="00DB5288"/>
    <w:rsid w:val="00DB6D66"/>
    <w:rsid w:val="00DB7468"/>
    <w:rsid w:val="00DB765B"/>
    <w:rsid w:val="00DB7820"/>
    <w:rsid w:val="00DB79C5"/>
    <w:rsid w:val="00DC0424"/>
    <w:rsid w:val="00DC05EE"/>
    <w:rsid w:val="00DC096F"/>
    <w:rsid w:val="00DC0EFB"/>
    <w:rsid w:val="00DC0F09"/>
    <w:rsid w:val="00DC24D6"/>
    <w:rsid w:val="00DC2D36"/>
    <w:rsid w:val="00DC346E"/>
    <w:rsid w:val="00DC397F"/>
    <w:rsid w:val="00DC4AEC"/>
    <w:rsid w:val="00DC4CB9"/>
    <w:rsid w:val="00DC53EF"/>
    <w:rsid w:val="00DC5EB2"/>
    <w:rsid w:val="00DC631E"/>
    <w:rsid w:val="00DC637D"/>
    <w:rsid w:val="00DC643F"/>
    <w:rsid w:val="00DC682D"/>
    <w:rsid w:val="00DC726B"/>
    <w:rsid w:val="00DD184D"/>
    <w:rsid w:val="00DD1BCC"/>
    <w:rsid w:val="00DD3E19"/>
    <w:rsid w:val="00DD4ED0"/>
    <w:rsid w:val="00DD5AF9"/>
    <w:rsid w:val="00DD5DDA"/>
    <w:rsid w:val="00DD62C0"/>
    <w:rsid w:val="00DD6E5F"/>
    <w:rsid w:val="00DE05BB"/>
    <w:rsid w:val="00DE1638"/>
    <w:rsid w:val="00DE4B4A"/>
    <w:rsid w:val="00DE51C9"/>
    <w:rsid w:val="00DE51D0"/>
    <w:rsid w:val="00DE5608"/>
    <w:rsid w:val="00DE58D0"/>
    <w:rsid w:val="00DE654B"/>
    <w:rsid w:val="00DE654F"/>
    <w:rsid w:val="00DE797A"/>
    <w:rsid w:val="00DE7B96"/>
    <w:rsid w:val="00DF0343"/>
    <w:rsid w:val="00DF07EE"/>
    <w:rsid w:val="00DF0B6E"/>
    <w:rsid w:val="00DF1227"/>
    <w:rsid w:val="00DF15E0"/>
    <w:rsid w:val="00DF167E"/>
    <w:rsid w:val="00DF37A0"/>
    <w:rsid w:val="00DF38F0"/>
    <w:rsid w:val="00DF3D3B"/>
    <w:rsid w:val="00DF43A6"/>
    <w:rsid w:val="00DF6C09"/>
    <w:rsid w:val="00DF7192"/>
    <w:rsid w:val="00DF7F7E"/>
    <w:rsid w:val="00E01843"/>
    <w:rsid w:val="00E0217A"/>
    <w:rsid w:val="00E02CCA"/>
    <w:rsid w:val="00E02D9A"/>
    <w:rsid w:val="00E02DD1"/>
    <w:rsid w:val="00E02F0E"/>
    <w:rsid w:val="00E03161"/>
    <w:rsid w:val="00E031DD"/>
    <w:rsid w:val="00E03375"/>
    <w:rsid w:val="00E0393B"/>
    <w:rsid w:val="00E041B7"/>
    <w:rsid w:val="00E05B9D"/>
    <w:rsid w:val="00E06039"/>
    <w:rsid w:val="00E06628"/>
    <w:rsid w:val="00E068EA"/>
    <w:rsid w:val="00E06CA4"/>
    <w:rsid w:val="00E06E61"/>
    <w:rsid w:val="00E07268"/>
    <w:rsid w:val="00E07679"/>
    <w:rsid w:val="00E07BE0"/>
    <w:rsid w:val="00E07DC1"/>
    <w:rsid w:val="00E07DC6"/>
    <w:rsid w:val="00E104A4"/>
    <w:rsid w:val="00E110E7"/>
    <w:rsid w:val="00E113AA"/>
    <w:rsid w:val="00E11B20"/>
    <w:rsid w:val="00E127BB"/>
    <w:rsid w:val="00E14329"/>
    <w:rsid w:val="00E17CFC"/>
    <w:rsid w:val="00E17FA2"/>
    <w:rsid w:val="00E20205"/>
    <w:rsid w:val="00E2038E"/>
    <w:rsid w:val="00E20784"/>
    <w:rsid w:val="00E21AC1"/>
    <w:rsid w:val="00E21B0F"/>
    <w:rsid w:val="00E22330"/>
    <w:rsid w:val="00E2311B"/>
    <w:rsid w:val="00E240C9"/>
    <w:rsid w:val="00E24900"/>
    <w:rsid w:val="00E25748"/>
    <w:rsid w:val="00E27E3C"/>
    <w:rsid w:val="00E3013E"/>
    <w:rsid w:val="00E30B5A"/>
    <w:rsid w:val="00E3123D"/>
    <w:rsid w:val="00E31461"/>
    <w:rsid w:val="00E31494"/>
    <w:rsid w:val="00E31D43"/>
    <w:rsid w:val="00E32608"/>
    <w:rsid w:val="00E3332C"/>
    <w:rsid w:val="00E33C3A"/>
    <w:rsid w:val="00E34188"/>
    <w:rsid w:val="00E34B6E"/>
    <w:rsid w:val="00E34EF9"/>
    <w:rsid w:val="00E35173"/>
    <w:rsid w:val="00E3545E"/>
    <w:rsid w:val="00E35559"/>
    <w:rsid w:val="00E3581C"/>
    <w:rsid w:val="00E35F21"/>
    <w:rsid w:val="00E3723A"/>
    <w:rsid w:val="00E37824"/>
    <w:rsid w:val="00E37860"/>
    <w:rsid w:val="00E4080C"/>
    <w:rsid w:val="00E409A9"/>
    <w:rsid w:val="00E42041"/>
    <w:rsid w:val="00E42B54"/>
    <w:rsid w:val="00E434B5"/>
    <w:rsid w:val="00E44228"/>
    <w:rsid w:val="00E44351"/>
    <w:rsid w:val="00E446F1"/>
    <w:rsid w:val="00E44CCC"/>
    <w:rsid w:val="00E454EF"/>
    <w:rsid w:val="00E463A1"/>
    <w:rsid w:val="00E465DA"/>
    <w:rsid w:val="00E46886"/>
    <w:rsid w:val="00E47AEF"/>
    <w:rsid w:val="00E47E1A"/>
    <w:rsid w:val="00E47FC7"/>
    <w:rsid w:val="00E509F9"/>
    <w:rsid w:val="00E537C8"/>
    <w:rsid w:val="00E537D6"/>
    <w:rsid w:val="00E53B75"/>
    <w:rsid w:val="00E53BF2"/>
    <w:rsid w:val="00E543D4"/>
    <w:rsid w:val="00E54E3B"/>
    <w:rsid w:val="00E57565"/>
    <w:rsid w:val="00E57790"/>
    <w:rsid w:val="00E57F39"/>
    <w:rsid w:val="00E60539"/>
    <w:rsid w:val="00E61D41"/>
    <w:rsid w:val="00E62D90"/>
    <w:rsid w:val="00E63838"/>
    <w:rsid w:val="00E64434"/>
    <w:rsid w:val="00E65C27"/>
    <w:rsid w:val="00E675D8"/>
    <w:rsid w:val="00E67AE9"/>
    <w:rsid w:val="00E67C51"/>
    <w:rsid w:val="00E67EA8"/>
    <w:rsid w:val="00E70446"/>
    <w:rsid w:val="00E7054A"/>
    <w:rsid w:val="00E707D0"/>
    <w:rsid w:val="00E70A4E"/>
    <w:rsid w:val="00E71575"/>
    <w:rsid w:val="00E7278F"/>
    <w:rsid w:val="00E72EFC"/>
    <w:rsid w:val="00E7394D"/>
    <w:rsid w:val="00E740F7"/>
    <w:rsid w:val="00E7418E"/>
    <w:rsid w:val="00E758EC"/>
    <w:rsid w:val="00E76658"/>
    <w:rsid w:val="00E76D13"/>
    <w:rsid w:val="00E76E26"/>
    <w:rsid w:val="00E773A3"/>
    <w:rsid w:val="00E805D7"/>
    <w:rsid w:val="00E80BFF"/>
    <w:rsid w:val="00E81FA1"/>
    <w:rsid w:val="00E8234C"/>
    <w:rsid w:val="00E83551"/>
    <w:rsid w:val="00E83AA9"/>
    <w:rsid w:val="00E83CE7"/>
    <w:rsid w:val="00E84627"/>
    <w:rsid w:val="00E84BCF"/>
    <w:rsid w:val="00E855A7"/>
    <w:rsid w:val="00E856E9"/>
    <w:rsid w:val="00E85928"/>
    <w:rsid w:val="00E863D0"/>
    <w:rsid w:val="00E87499"/>
    <w:rsid w:val="00E87822"/>
    <w:rsid w:val="00E90031"/>
    <w:rsid w:val="00E90395"/>
    <w:rsid w:val="00E90647"/>
    <w:rsid w:val="00E90B93"/>
    <w:rsid w:val="00E90E49"/>
    <w:rsid w:val="00E91133"/>
    <w:rsid w:val="00E917F9"/>
    <w:rsid w:val="00E925B8"/>
    <w:rsid w:val="00E9291C"/>
    <w:rsid w:val="00E929EF"/>
    <w:rsid w:val="00E93FFE"/>
    <w:rsid w:val="00E94341"/>
    <w:rsid w:val="00E94A68"/>
    <w:rsid w:val="00E94F8A"/>
    <w:rsid w:val="00E96B19"/>
    <w:rsid w:val="00E96F34"/>
    <w:rsid w:val="00E9785D"/>
    <w:rsid w:val="00EA16D2"/>
    <w:rsid w:val="00EA1E00"/>
    <w:rsid w:val="00EA2A63"/>
    <w:rsid w:val="00EA2C90"/>
    <w:rsid w:val="00EA3C58"/>
    <w:rsid w:val="00EA3D6B"/>
    <w:rsid w:val="00EA40D9"/>
    <w:rsid w:val="00EA433A"/>
    <w:rsid w:val="00EA4695"/>
    <w:rsid w:val="00EA477F"/>
    <w:rsid w:val="00EA4EFD"/>
    <w:rsid w:val="00EA6096"/>
    <w:rsid w:val="00EA7A41"/>
    <w:rsid w:val="00EA7C58"/>
    <w:rsid w:val="00EB0358"/>
    <w:rsid w:val="00EB077B"/>
    <w:rsid w:val="00EB4EA2"/>
    <w:rsid w:val="00EB4F3F"/>
    <w:rsid w:val="00EB50BE"/>
    <w:rsid w:val="00EB5FC3"/>
    <w:rsid w:val="00EB670E"/>
    <w:rsid w:val="00EC08EA"/>
    <w:rsid w:val="00EC17D1"/>
    <w:rsid w:val="00EC27C6"/>
    <w:rsid w:val="00EC29AF"/>
    <w:rsid w:val="00EC4008"/>
    <w:rsid w:val="00EC4207"/>
    <w:rsid w:val="00EC556D"/>
    <w:rsid w:val="00EC5653"/>
    <w:rsid w:val="00EC71CE"/>
    <w:rsid w:val="00ED0393"/>
    <w:rsid w:val="00ED0C6B"/>
    <w:rsid w:val="00ED1006"/>
    <w:rsid w:val="00ED3842"/>
    <w:rsid w:val="00ED53B0"/>
    <w:rsid w:val="00ED5A72"/>
    <w:rsid w:val="00ED5E51"/>
    <w:rsid w:val="00ED5EF5"/>
    <w:rsid w:val="00ED663F"/>
    <w:rsid w:val="00EE068B"/>
    <w:rsid w:val="00EE12F7"/>
    <w:rsid w:val="00EE3A81"/>
    <w:rsid w:val="00EE4DC5"/>
    <w:rsid w:val="00EE6217"/>
    <w:rsid w:val="00EE6E22"/>
    <w:rsid w:val="00EF1753"/>
    <w:rsid w:val="00EF18FE"/>
    <w:rsid w:val="00EF1A2B"/>
    <w:rsid w:val="00EF2322"/>
    <w:rsid w:val="00EF279B"/>
    <w:rsid w:val="00EF456C"/>
    <w:rsid w:val="00EF549A"/>
    <w:rsid w:val="00EF5787"/>
    <w:rsid w:val="00EF5788"/>
    <w:rsid w:val="00EF5C53"/>
    <w:rsid w:val="00EF5D6A"/>
    <w:rsid w:val="00EF5E19"/>
    <w:rsid w:val="00EF60D0"/>
    <w:rsid w:val="00EF718B"/>
    <w:rsid w:val="00F00355"/>
    <w:rsid w:val="00F004F5"/>
    <w:rsid w:val="00F00714"/>
    <w:rsid w:val="00F00CAF"/>
    <w:rsid w:val="00F01E33"/>
    <w:rsid w:val="00F020AE"/>
    <w:rsid w:val="00F0372C"/>
    <w:rsid w:val="00F03A59"/>
    <w:rsid w:val="00F0528D"/>
    <w:rsid w:val="00F05931"/>
    <w:rsid w:val="00F06B53"/>
    <w:rsid w:val="00F06C67"/>
    <w:rsid w:val="00F06DFD"/>
    <w:rsid w:val="00F06F1F"/>
    <w:rsid w:val="00F071D1"/>
    <w:rsid w:val="00F07533"/>
    <w:rsid w:val="00F105C2"/>
    <w:rsid w:val="00F10629"/>
    <w:rsid w:val="00F10C71"/>
    <w:rsid w:val="00F10EB7"/>
    <w:rsid w:val="00F10FE2"/>
    <w:rsid w:val="00F11C37"/>
    <w:rsid w:val="00F1399D"/>
    <w:rsid w:val="00F13CE9"/>
    <w:rsid w:val="00F145BA"/>
    <w:rsid w:val="00F14CDC"/>
    <w:rsid w:val="00F15FA5"/>
    <w:rsid w:val="00F16537"/>
    <w:rsid w:val="00F16CDF"/>
    <w:rsid w:val="00F17B84"/>
    <w:rsid w:val="00F206BA"/>
    <w:rsid w:val="00F209B7"/>
    <w:rsid w:val="00F221EB"/>
    <w:rsid w:val="00F228B7"/>
    <w:rsid w:val="00F22F71"/>
    <w:rsid w:val="00F23269"/>
    <w:rsid w:val="00F2376F"/>
    <w:rsid w:val="00F24013"/>
    <w:rsid w:val="00F243D8"/>
    <w:rsid w:val="00F2476A"/>
    <w:rsid w:val="00F255A0"/>
    <w:rsid w:val="00F26B33"/>
    <w:rsid w:val="00F26F58"/>
    <w:rsid w:val="00F272D4"/>
    <w:rsid w:val="00F27F4E"/>
    <w:rsid w:val="00F30099"/>
    <w:rsid w:val="00F304D8"/>
    <w:rsid w:val="00F304D9"/>
    <w:rsid w:val="00F30828"/>
    <w:rsid w:val="00F313D6"/>
    <w:rsid w:val="00F313EB"/>
    <w:rsid w:val="00F31A51"/>
    <w:rsid w:val="00F321B2"/>
    <w:rsid w:val="00F325A3"/>
    <w:rsid w:val="00F32A01"/>
    <w:rsid w:val="00F36473"/>
    <w:rsid w:val="00F370BB"/>
    <w:rsid w:val="00F4040C"/>
    <w:rsid w:val="00F40998"/>
    <w:rsid w:val="00F40F0C"/>
    <w:rsid w:val="00F4103D"/>
    <w:rsid w:val="00F4168F"/>
    <w:rsid w:val="00F41FB4"/>
    <w:rsid w:val="00F4214A"/>
    <w:rsid w:val="00F42941"/>
    <w:rsid w:val="00F461E7"/>
    <w:rsid w:val="00F4766C"/>
    <w:rsid w:val="00F5060E"/>
    <w:rsid w:val="00F507D1"/>
    <w:rsid w:val="00F50EA5"/>
    <w:rsid w:val="00F519CE"/>
    <w:rsid w:val="00F51ADA"/>
    <w:rsid w:val="00F51BBB"/>
    <w:rsid w:val="00F53C54"/>
    <w:rsid w:val="00F53E6B"/>
    <w:rsid w:val="00F54231"/>
    <w:rsid w:val="00F54328"/>
    <w:rsid w:val="00F54387"/>
    <w:rsid w:val="00F55434"/>
    <w:rsid w:val="00F55C21"/>
    <w:rsid w:val="00F55DFE"/>
    <w:rsid w:val="00F56007"/>
    <w:rsid w:val="00F561DA"/>
    <w:rsid w:val="00F562F4"/>
    <w:rsid w:val="00F573A9"/>
    <w:rsid w:val="00F607C5"/>
    <w:rsid w:val="00F60DEA"/>
    <w:rsid w:val="00F60F44"/>
    <w:rsid w:val="00F6263A"/>
    <w:rsid w:val="00F6302A"/>
    <w:rsid w:val="00F634BA"/>
    <w:rsid w:val="00F638CA"/>
    <w:rsid w:val="00F63B93"/>
    <w:rsid w:val="00F63EE5"/>
    <w:rsid w:val="00F640B2"/>
    <w:rsid w:val="00F64C2B"/>
    <w:rsid w:val="00F651BE"/>
    <w:rsid w:val="00F65353"/>
    <w:rsid w:val="00F655B9"/>
    <w:rsid w:val="00F66D14"/>
    <w:rsid w:val="00F66FA3"/>
    <w:rsid w:val="00F6738F"/>
    <w:rsid w:val="00F67CF3"/>
    <w:rsid w:val="00F67F53"/>
    <w:rsid w:val="00F703BE"/>
    <w:rsid w:val="00F70C36"/>
    <w:rsid w:val="00F71F69"/>
    <w:rsid w:val="00F72AFA"/>
    <w:rsid w:val="00F72B72"/>
    <w:rsid w:val="00F72B7D"/>
    <w:rsid w:val="00F7367F"/>
    <w:rsid w:val="00F743E0"/>
    <w:rsid w:val="00F74903"/>
    <w:rsid w:val="00F74BB9"/>
    <w:rsid w:val="00F750A6"/>
    <w:rsid w:val="00F75496"/>
    <w:rsid w:val="00F75582"/>
    <w:rsid w:val="00F765AD"/>
    <w:rsid w:val="00F7661A"/>
    <w:rsid w:val="00F76EFA"/>
    <w:rsid w:val="00F770F6"/>
    <w:rsid w:val="00F771E9"/>
    <w:rsid w:val="00F7770E"/>
    <w:rsid w:val="00F77ED4"/>
    <w:rsid w:val="00F804BE"/>
    <w:rsid w:val="00F809E2"/>
    <w:rsid w:val="00F80CFE"/>
    <w:rsid w:val="00F81394"/>
    <w:rsid w:val="00F817CE"/>
    <w:rsid w:val="00F81FB1"/>
    <w:rsid w:val="00F82314"/>
    <w:rsid w:val="00F82493"/>
    <w:rsid w:val="00F831BC"/>
    <w:rsid w:val="00F83DA2"/>
    <w:rsid w:val="00F8456C"/>
    <w:rsid w:val="00F859D8"/>
    <w:rsid w:val="00F866D8"/>
    <w:rsid w:val="00F868F5"/>
    <w:rsid w:val="00F86F2E"/>
    <w:rsid w:val="00F8797A"/>
    <w:rsid w:val="00F9056A"/>
    <w:rsid w:val="00F90643"/>
    <w:rsid w:val="00F90F8D"/>
    <w:rsid w:val="00F91986"/>
    <w:rsid w:val="00F92256"/>
    <w:rsid w:val="00F92782"/>
    <w:rsid w:val="00F933A1"/>
    <w:rsid w:val="00F93AA9"/>
    <w:rsid w:val="00F9442E"/>
    <w:rsid w:val="00F9519D"/>
    <w:rsid w:val="00F95765"/>
    <w:rsid w:val="00F9600C"/>
    <w:rsid w:val="00F96985"/>
    <w:rsid w:val="00F96EA6"/>
    <w:rsid w:val="00F97285"/>
    <w:rsid w:val="00F9763C"/>
    <w:rsid w:val="00F97838"/>
    <w:rsid w:val="00F97D1C"/>
    <w:rsid w:val="00FA0AA2"/>
    <w:rsid w:val="00FA1C4C"/>
    <w:rsid w:val="00FA2BB3"/>
    <w:rsid w:val="00FA3CD8"/>
    <w:rsid w:val="00FA446D"/>
    <w:rsid w:val="00FA48B6"/>
    <w:rsid w:val="00FA50EC"/>
    <w:rsid w:val="00FA5879"/>
    <w:rsid w:val="00FA6713"/>
    <w:rsid w:val="00FA6D5D"/>
    <w:rsid w:val="00FA6F7F"/>
    <w:rsid w:val="00FA7C63"/>
    <w:rsid w:val="00FB108F"/>
    <w:rsid w:val="00FB1322"/>
    <w:rsid w:val="00FB278D"/>
    <w:rsid w:val="00FB297C"/>
    <w:rsid w:val="00FB2A10"/>
    <w:rsid w:val="00FB2F85"/>
    <w:rsid w:val="00FB3215"/>
    <w:rsid w:val="00FB3770"/>
    <w:rsid w:val="00FB4C41"/>
    <w:rsid w:val="00FB4C80"/>
    <w:rsid w:val="00FB6318"/>
    <w:rsid w:val="00FB67B1"/>
    <w:rsid w:val="00FB6A6A"/>
    <w:rsid w:val="00FC05AB"/>
    <w:rsid w:val="00FC0EE3"/>
    <w:rsid w:val="00FC1A14"/>
    <w:rsid w:val="00FC2861"/>
    <w:rsid w:val="00FC3390"/>
    <w:rsid w:val="00FC43DF"/>
    <w:rsid w:val="00FC44D8"/>
    <w:rsid w:val="00FC4D91"/>
    <w:rsid w:val="00FC5328"/>
    <w:rsid w:val="00FC5A27"/>
    <w:rsid w:val="00FC63F1"/>
    <w:rsid w:val="00FC6AB5"/>
    <w:rsid w:val="00FC6C8C"/>
    <w:rsid w:val="00FC7429"/>
    <w:rsid w:val="00FD073A"/>
    <w:rsid w:val="00FD07F6"/>
    <w:rsid w:val="00FD133C"/>
    <w:rsid w:val="00FD1BE3"/>
    <w:rsid w:val="00FD1E41"/>
    <w:rsid w:val="00FD1EC8"/>
    <w:rsid w:val="00FD207B"/>
    <w:rsid w:val="00FD2555"/>
    <w:rsid w:val="00FD35B7"/>
    <w:rsid w:val="00FD47ED"/>
    <w:rsid w:val="00FD4C23"/>
    <w:rsid w:val="00FD5366"/>
    <w:rsid w:val="00FD74DB"/>
    <w:rsid w:val="00FD7660"/>
    <w:rsid w:val="00FE0542"/>
    <w:rsid w:val="00FE0655"/>
    <w:rsid w:val="00FE08D3"/>
    <w:rsid w:val="00FE0F65"/>
    <w:rsid w:val="00FE1843"/>
    <w:rsid w:val="00FE22ED"/>
    <w:rsid w:val="00FE2365"/>
    <w:rsid w:val="00FE2F79"/>
    <w:rsid w:val="00FE37D7"/>
    <w:rsid w:val="00FE406A"/>
    <w:rsid w:val="00FE493E"/>
    <w:rsid w:val="00FE4C7B"/>
    <w:rsid w:val="00FE6236"/>
    <w:rsid w:val="00FE68CD"/>
    <w:rsid w:val="00FE7336"/>
    <w:rsid w:val="00FE7770"/>
    <w:rsid w:val="00FE787C"/>
    <w:rsid w:val="00FE7ED3"/>
    <w:rsid w:val="00FF09EA"/>
    <w:rsid w:val="00FF16DE"/>
    <w:rsid w:val="00FF1F26"/>
    <w:rsid w:val="00FF2917"/>
    <w:rsid w:val="00FF2E08"/>
    <w:rsid w:val="00FF309E"/>
    <w:rsid w:val="00FF45A5"/>
    <w:rsid w:val="00FF4AC4"/>
    <w:rsid w:val="00FF4C7C"/>
    <w:rsid w:val="00FF519D"/>
    <w:rsid w:val="00FF5C91"/>
    <w:rsid w:val="00FF6628"/>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6A9F"/>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paragraph" w:customStyle="1" w:styleId="Agreement">
    <w:name w:val="Agreement"/>
    <w:basedOn w:val="a0"/>
    <w:next w:val="a0"/>
    <w:qFormat/>
    <w:rsid w:val="00AE3FBA"/>
    <w:pPr>
      <w:numPr>
        <w:numId w:val="22"/>
      </w:numPr>
      <w:overflowPunct/>
      <w:autoSpaceDE/>
      <w:autoSpaceDN/>
      <w:adjustRightInd/>
      <w:spacing w:before="60" w:after="0"/>
      <w:jc w:val="left"/>
      <w:textAlignment w:val="auto"/>
    </w:pPr>
    <w:rPr>
      <w:rFonts w:eastAsia="MS Mincho"/>
      <w:b/>
      <w:szCs w:val="24"/>
      <w:lang w:eastAsia="en-GB"/>
    </w:rPr>
  </w:style>
  <w:style w:type="table" w:customStyle="1" w:styleId="GridTable4-Accent11">
    <w:name w:val="Grid Table 4 - Accent 11"/>
    <w:basedOn w:val="a2"/>
    <w:uiPriority w:val="49"/>
    <w:qFormat/>
    <w:rsid w:val="00804B50"/>
    <w:pPr>
      <w:spacing w:after="160" w:line="259" w:lineRule="auto"/>
      <w:jc w:val="both"/>
    </w:pPr>
    <w:rPr>
      <w:rFonts w:eastAsia="PMingLiU"/>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36425575">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24367940">
      <w:bodyDiv w:val="1"/>
      <w:marLeft w:val="0"/>
      <w:marRight w:val="0"/>
      <w:marTop w:val="0"/>
      <w:marBottom w:val="0"/>
      <w:divBdr>
        <w:top w:val="none" w:sz="0" w:space="0" w:color="auto"/>
        <w:left w:val="none" w:sz="0" w:space="0" w:color="auto"/>
        <w:bottom w:val="none" w:sz="0" w:space="0" w:color="auto"/>
        <w:right w:val="none" w:sz="0" w:space="0" w:color="auto"/>
      </w:divBdr>
      <w:divsChild>
        <w:div w:id="543324425">
          <w:marLeft w:val="907"/>
          <w:marRight w:val="0"/>
          <w:marTop w:val="0"/>
          <w:marBottom w:val="0"/>
          <w:divBdr>
            <w:top w:val="none" w:sz="0" w:space="0" w:color="auto"/>
            <w:left w:val="none" w:sz="0" w:space="0" w:color="auto"/>
            <w:bottom w:val="none" w:sz="0" w:space="0" w:color="auto"/>
            <w:right w:val="none" w:sz="0" w:space="0" w:color="auto"/>
          </w:divBdr>
        </w:div>
        <w:div w:id="1719432232">
          <w:marLeft w:val="907"/>
          <w:marRight w:val="0"/>
          <w:marTop w:val="0"/>
          <w:marBottom w:val="0"/>
          <w:divBdr>
            <w:top w:val="none" w:sz="0" w:space="0" w:color="auto"/>
            <w:left w:val="none" w:sz="0" w:space="0" w:color="auto"/>
            <w:bottom w:val="none" w:sz="0" w:space="0" w:color="auto"/>
            <w:right w:val="none" w:sz="0" w:space="0" w:color="auto"/>
          </w:divBdr>
        </w:div>
        <w:div w:id="990594423">
          <w:marLeft w:val="907"/>
          <w:marRight w:val="0"/>
          <w:marTop w:val="0"/>
          <w:marBottom w:val="0"/>
          <w:divBdr>
            <w:top w:val="none" w:sz="0" w:space="0" w:color="auto"/>
            <w:left w:val="none" w:sz="0" w:space="0" w:color="auto"/>
            <w:bottom w:val="none" w:sz="0" w:space="0" w:color="auto"/>
            <w:right w:val="none" w:sz="0" w:space="0" w:color="auto"/>
          </w:divBdr>
        </w:div>
        <w:div w:id="774708867">
          <w:marLeft w:val="907"/>
          <w:marRight w:val="0"/>
          <w:marTop w:val="0"/>
          <w:marBottom w:val="0"/>
          <w:divBdr>
            <w:top w:val="none" w:sz="0" w:space="0" w:color="auto"/>
            <w:left w:val="none" w:sz="0" w:space="0" w:color="auto"/>
            <w:bottom w:val="none" w:sz="0" w:space="0" w:color="auto"/>
            <w:right w:val="none" w:sz="0" w:space="0" w:color="auto"/>
          </w:divBdr>
        </w:div>
        <w:div w:id="1852526268">
          <w:marLeft w:val="907"/>
          <w:marRight w:val="0"/>
          <w:marTop w:val="0"/>
          <w:marBottom w:val="0"/>
          <w:divBdr>
            <w:top w:val="none" w:sz="0" w:space="0" w:color="auto"/>
            <w:left w:val="none" w:sz="0" w:space="0" w:color="auto"/>
            <w:bottom w:val="none" w:sz="0" w:space="0" w:color="auto"/>
            <w:right w:val="none" w:sz="0" w:space="0" w:color="auto"/>
          </w:divBdr>
        </w:div>
        <w:div w:id="1526092627">
          <w:marLeft w:val="907"/>
          <w:marRight w:val="0"/>
          <w:marTop w:val="0"/>
          <w:marBottom w:val="0"/>
          <w:divBdr>
            <w:top w:val="none" w:sz="0" w:space="0" w:color="auto"/>
            <w:left w:val="none" w:sz="0" w:space="0" w:color="auto"/>
            <w:bottom w:val="none" w:sz="0" w:space="0" w:color="auto"/>
            <w:right w:val="none" w:sz="0" w:space="0" w:color="auto"/>
          </w:divBdr>
        </w:div>
        <w:div w:id="2099789485">
          <w:marLeft w:val="907"/>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94710888">
      <w:bodyDiv w:val="1"/>
      <w:marLeft w:val="0"/>
      <w:marRight w:val="0"/>
      <w:marTop w:val="0"/>
      <w:marBottom w:val="0"/>
      <w:divBdr>
        <w:top w:val="none" w:sz="0" w:space="0" w:color="auto"/>
        <w:left w:val="none" w:sz="0" w:space="0" w:color="auto"/>
        <w:bottom w:val="none" w:sz="0" w:space="0" w:color="auto"/>
        <w:right w:val="none" w:sz="0" w:space="0" w:color="auto"/>
      </w:divBdr>
      <w:divsChild>
        <w:div w:id="1465464464">
          <w:marLeft w:val="547"/>
          <w:marRight w:val="0"/>
          <w:marTop w:val="0"/>
          <w:marBottom w:val="0"/>
          <w:divBdr>
            <w:top w:val="none" w:sz="0" w:space="0" w:color="auto"/>
            <w:left w:val="none" w:sz="0" w:space="0" w:color="auto"/>
            <w:bottom w:val="none" w:sz="0" w:space="0" w:color="auto"/>
            <w:right w:val="none" w:sz="0" w:space="0" w:color="auto"/>
          </w:divBdr>
        </w:div>
        <w:div w:id="708526965">
          <w:marLeft w:val="547"/>
          <w:marRight w:val="0"/>
          <w:marTop w:val="0"/>
          <w:marBottom w:val="0"/>
          <w:divBdr>
            <w:top w:val="none" w:sz="0" w:space="0" w:color="auto"/>
            <w:left w:val="none" w:sz="0" w:space="0" w:color="auto"/>
            <w:bottom w:val="none" w:sz="0" w:space="0" w:color="auto"/>
            <w:right w:val="none" w:sz="0" w:space="0" w:color="auto"/>
          </w:divBdr>
        </w:div>
        <w:div w:id="1578055163">
          <w:marLeft w:val="547"/>
          <w:marRight w:val="0"/>
          <w:marTop w:val="0"/>
          <w:marBottom w:val="0"/>
          <w:divBdr>
            <w:top w:val="none" w:sz="0" w:space="0" w:color="auto"/>
            <w:left w:val="none" w:sz="0" w:space="0" w:color="auto"/>
            <w:bottom w:val="none" w:sz="0" w:space="0" w:color="auto"/>
            <w:right w:val="none" w:sz="0" w:space="0" w:color="auto"/>
          </w:divBdr>
        </w:div>
        <w:div w:id="701635070">
          <w:marLeft w:val="547"/>
          <w:marRight w:val="0"/>
          <w:marTop w:val="0"/>
          <w:marBottom w:val="0"/>
          <w:divBdr>
            <w:top w:val="none" w:sz="0" w:space="0" w:color="auto"/>
            <w:left w:val="none" w:sz="0" w:space="0" w:color="auto"/>
            <w:bottom w:val="none" w:sz="0" w:space="0" w:color="auto"/>
            <w:right w:val="none" w:sz="0" w:space="0" w:color="auto"/>
          </w:divBdr>
        </w:div>
        <w:div w:id="1633174474">
          <w:marLeft w:val="547"/>
          <w:marRight w:val="0"/>
          <w:marTop w:val="0"/>
          <w:marBottom w:val="0"/>
          <w:divBdr>
            <w:top w:val="none" w:sz="0" w:space="0" w:color="auto"/>
            <w:left w:val="none" w:sz="0" w:space="0" w:color="auto"/>
            <w:bottom w:val="none" w:sz="0" w:space="0" w:color="auto"/>
            <w:right w:val="none" w:sz="0" w:space="0" w:color="auto"/>
          </w:divBdr>
        </w:div>
      </w:divsChild>
    </w:div>
    <w:div w:id="856819305">
      <w:bodyDiv w:val="1"/>
      <w:marLeft w:val="0"/>
      <w:marRight w:val="0"/>
      <w:marTop w:val="0"/>
      <w:marBottom w:val="0"/>
      <w:divBdr>
        <w:top w:val="none" w:sz="0" w:space="0" w:color="auto"/>
        <w:left w:val="none" w:sz="0" w:space="0" w:color="auto"/>
        <w:bottom w:val="none" w:sz="0" w:space="0" w:color="auto"/>
        <w:right w:val="none" w:sz="0" w:space="0" w:color="auto"/>
      </w:divBdr>
      <w:divsChild>
        <w:div w:id="351031119">
          <w:marLeft w:val="547"/>
          <w:marRight w:val="0"/>
          <w:marTop w:val="0"/>
          <w:marBottom w:val="0"/>
          <w:divBdr>
            <w:top w:val="none" w:sz="0" w:space="0" w:color="auto"/>
            <w:left w:val="none" w:sz="0" w:space="0" w:color="auto"/>
            <w:bottom w:val="none" w:sz="0" w:space="0" w:color="auto"/>
            <w:right w:val="none" w:sz="0" w:space="0" w:color="auto"/>
          </w:divBdr>
        </w:div>
      </w:divsChild>
    </w:div>
    <w:div w:id="1161769971">
      <w:bodyDiv w:val="1"/>
      <w:marLeft w:val="0"/>
      <w:marRight w:val="0"/>
      <w:marTop w:val="0"/>
      <w:marBottom w:val="0"/>
      <w:divBdr>
        <w:top w:val="none" w:sz="0" w:space="0" w:color="auto"/>
        <w:left w:val="none" w:sz="0" w:space="0" w:color="auto"/>
        <w:bottom w:val="none" w:sz="0" w:space="0" w:color="auto"/>
        <w:right w:val="none" w:sz="0" w:space="0" w:color="auto"/>
      </w:divBdr>
      <w:divsChild>
        <w:div w:id="884482866">
          <w:marLeft w:val="547"/>
          <w:marRight w:val="0"/>
          <w:marTop w:val="0"/>
          <w:marBottom w:val="0"/>
          <w:divBdr>
            <w:top w:val="none" w:sz="0" w:space="0" w:color="auto"/>
            <w:left w:val="none" w:sz="0" w:space="0" w:color="auto"/>
            <w:bottom w:val="none" w:sz="0" w:space="0" w:color="auto"/>
            <w:right w:val="none" w:sz="0" w:space="0" w:color="auto"/>
          </w:divBdr>
        </w:div>
        <w:div w:id="1975941793">
          <w:marLeft w:val="547"/>
          <w:marRight w:val="0"/>
          <w:marTop w:val="0"/>
          <w:marBottom w:val="0"/>
          <w:divBdr>
            <w:top w:val="none" w:sz="0" w:space="0" w:color="auto"/>
            <w:left w:val="none" w:sz="0" w:space="0" w:color="auto"/>
            <w:bottom w:val="none" w:sz="0" w:space="0" w:color="auto"/>
            <w:right w:val="none" w:sz="0" w:space="0" w:color="auto"/>
          </w:divBdr>
        </w:div>
        <w:div w:id="2009551338">
          <w:marLeft w:val="547"/>
          <w:marRight w:val="0"/>
          <w:marTop w:val="0"/>
          <w:marBottom w:val="0"/>
          <w:divBdr>
            <w:top w:val="none" w:sz="0" w:space="0" w:color="auto"/>
            <w:left w:val="none" w:sz="0" w:space="0" w:color="auto"/>
            <w:bottom w:val="none" w:sz="0" w:space="0" w:color="auto"/>
            <w:right w:val="none" w:sz="0" w:space="0" w:color="auto"/>
          </w:divBdr>
        </w:div>
        <w:div w:id="780417286">
          <w:marLeft w:val="547"/>
          <w:marRight w:val="0"/>
          <w:marTop w:val="0"/>
          <w:marBottom w:val="0"/>
          <w:divBdr>
            <w:top w:val="none" w:sz="0" w:space="0" w:color="auto"/>
            <w:left w:val="none" w:sz="0" w:space="0" w:color="auto"/>
            <w:bottom w:val="none" w:sz="0" w:space="0" w:color="auto"/>
            <w:right w:val="none" w:sz="0" w:space="0" w:color="auto"/>
          </w:divBdr>
        </w:div>
        <w:div w:id="920717284">
          <w:marLeft w:val="54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3864593">
      <w:bodyDiv w:val="1"/>
      <w:marLeft w:val="0"/>
      <w:marRight w:val="0"/>
      <w:marTop w:val="0"/>
      <w:marBottom w:val="0"/>
      <w:divBdr>
        <w:top w:val="none" w:sz="0" w:space="0" w:color="auto"/>
        <w:left w:val="none" w:sz="0" w:space="0" w:color="auto"/>
        <w:bottom w:val="none" w:sz="0" w:space="0" w:color="auto"/>
        <w:right w:val="none" w:sz="0" w:space="0" w:color="auto"/>
      </w:divBdr>
      <w:divsChild>
        <w:div w:id="1073428589">
          <w:marLeft w:val="907"/>
          <w:marRight w:val="0"/>
          <w:marTop w:val="0"/>
          <w:marBottom w:val="0"/>
          <w:divBdr>
            <w:top w:val="none" w:sz="0" w:space="0" w:color="auto"/>
            <w:left w:val="none" w:sz="0" w:space="0" w:color="auto"/>
            <w:bottom w:val="none" w:sz="0" w:space="0" w:color="auto"/>
            <w:right w:val="none" w:sz="0" w:space="0" w:color="auto"/>
          </w:divBdr>
        </w:div>
      </w:divsChild>
    </w:div>
    <w:div w:id="1456564061">
      <w:bodyDiv w:val="1"/>
      <w:marLeft w:val="0"/>
      <w:marRight w:val="0"/>
      <w:marTop w:val="0"/>
      <w:marBottom w:val="0"/>
      <w:divBdr>
        <w:top w:val="none" w:sz="0" w:space="0" w:color="auto"/>
        <w:left w:val="none" w:sz="0" w:space="0" w:color="auto"/>
        <w:bottom w:val="none" w:sz="0" w:space="0" w:color="auto"/>
        <w:right w:val="none" w:sz="0" w:space="0" w:color="auto"/>
      </w:divBdr>
      <w:divsChild>
        <w:div w:id="510536345">
          <w:marLeft w:val="547"/>
          <w:marRight w:val="0"/>
          <w:marTop w:val="0"/>
          <w:marBottom w:val="0"/>
          <w:divBdr>
            <w:top w:val="none" w:sz="0" w:space="0" w:color="auto"/>
            <w:left w:val="none" w:sz="0" w:space="0" w:color="auto"/>
            <w:bottom w:val="none" w:sz="0" w:space="0" w:color="auto"/>
            <w:right w:val="none" w:sz="0" w:space="0" w:color="auto"/>
          </w:divBdr>
        </w:div>
      </w:divsChild>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63198559">
      <w:bodyDiv w:val="1"/>
      <w:marLeft w:val="0"/>
      <w:marRight w:val="0"/>
      <w:marTop w:val="0"/>
      <w:marBottom w:val="0"/>
      <w:divBdr>
        <w:top w:val="none" w:sz="0" w:space="0" w:color="auto"/>
        <w:left w:val="none" w:sz="0" w:space="0" w:color="auto"/>
        <w:bottom w:val="none" w:sz="0" w:space="0" w:color="auto"/>
        <w:right w:val="none" w:sz="0" w:space="0" w:color="auto"/>
      </w:divBdr>
      <w:divsChild>
        <w:div w:id="242380747">
          <w:marLeft w:val="907"/>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785298561">
      <w:bodyDiv w:val="1"/>
      <w:marLeft w:val="0"/>
      <w:marRight w:val="0"/>
      <w:marTop w:val="0"/>
      <w:marBottom w:val="0"/>
      <w:divBdr>
        <w:top w:val="none" w:sz="0" w:space="0" w:color="auto"/>
        <w:left w:val="none" w:sz="0" w:space="0" w:color="auto"/>
        <w:bottom w:val="none" w:sz="0" w:space="0" w:color="auto"/>
        <w:right w:val="none" w:sz="0" w:space="0" w:color="auto"/>
      </w:divBdr>
      <w:divsChild>
        <w:div w:id="969752304">
          <w:marLeft w:val="907"/>
          <w:marRight w:val="0"/>
          <w:marTop w:val="0"/>
          <w:marBottom w:val="0"/>
          <w:divBdr>
            <w:top w:val="none" w:sz="0" w:space="0" w:color="auto"/>
            <w:left w:val="none" w:sz="0" w:space="0" w:color="auto"/>
            <w:bottom w:val="none" w:sz="0" w:space="0" w:color="auto"/>
            <w:right w:val="none" w:sz="0" w:space="0" w:color="auto"/>
          </w:divBdr>
        </w:div>
        <w:div w:id="712966431">
          <w:marLeft w:val="907"/>
          <w:marRight w:val="0"/>
          <w:marTop w:val="0"/>
          <w:marBottom w:val="0"/>
          <w:divBdr>
            <w:top w:val="none" w:sz="0" w:space="0" w:color="auto"/>
            <w:left w:val="none" w:sz="0" w:space="0" w:color="auto"/>
            <w:bottom w:val="none" w:sz="0" w:space="0" w:color="auto"/>
            <w:right w:val="none" w:sz="0" w:space="0" w:color="auto"/>
          </w:divBdr>
        </w:div>
        <w:div w:id="1250890664">
          <w:marLeft w:val="907"/>
          <w:marRight w:val="0"/>
          <w:marTop w:val="0"/>
          <w:marBottom w:val="0"/>
          <w:divBdr>
            <w:top w:val="none" w:sz="0" w:space="0" w:color="auto"/>
            <w:left w:val="none" w:sz="0" w:space="0" w:color="auto"/>
            <w:bottom w:val="none" w:sz="0" w:space="0" w:color="auto"/>
            <w:right w:val="none" w:sz="0" w:space="0" w:color="auto"/>
          </w:divBdr>
        </w:div>
        <w:div w:id="787048966">
          <w:marLeft w:val="907"/>
          <w:marRight w:val="0"/>
          <w:marTop w:val="0"/>
          <w:marBottom w:val="0"/>
          <w:divBdr>
            <w:top w:val="none" w:sz="0" w:space="0" w:color="auto"/>
            <w:left w:val="none" w:sz="0" w:space="0" w:color="auto"/>
            <w:bottom w:val="none" w:sz="0" w:space="0" w:color="auto"/>
            <w:right w:val="none" w:sz="0" w:space="0" w:color="auto"/>
          </w:divBdr>
        </w:div>
        <w:div w:id="1777284518">
          <w:marLeft w:val="907"/>
          <w:marRight w:val="0"/>
          <w:marTop w:val="0"/>
          <w:marBottom w:val="0"/>
          <w:divBdr>
            <w:top w:val="none" w:sz="0" w:space="0" w:color="auto"/>
            <w:left w:val="none" w:sz="0" w:space="0" w:color="auto"/>
            <w:bottom w:val="none" w:sz="0" w:space="0" w:color="auto"/>
            <w:right w:val="none" w:sz="0" w:space="0" w:color="auto"/>
          </w:divBdr>
        </w:div>
        <w:div w:id="676227757">
          <w:marLeft w:val="907"/>
          <w:marRight w:val="0"/>
          <w:marTop w:val="0"/>
          <w:marBottom w:val="0"/>
          <w:divBdr>
            <w:top w:val="none" w:sz="0" w:space="0" w:color="auto"/>
            <w:left w:val="none" w:sz="0" w:space="0" w:color="auto"/>
            <w:bottom w:val="none" w:sz="0" w:space="0" w:color="auto"/>
            <w:right w:val="none" w:sz="0" w:space="0" w:color="auto"/>
          </w:divBdr>
        </w:div>
        <w:div w:id="1503817201">
          <w:marLeft w:val="907"/>
          <w:marRight w:val="0"/>
          <w:marTop w:val="0"/>
          <w:marBottom w:val="0"/>
          <w:divBdr>
            <w:top w:val="none" w:sz="0" w:space="0" w:color="auto"/>
            <w:left w:val="none" w:sz="0" w:space="0" w:color="auto"/>
            <w:bottom w:val="none" w:sz="0" w:space="0" w:color="auto"/>
            <w:right w:val="none" w:sz="0" w:space="0" w:color="auto"/>
          </w:divBdr>
        </w:div>
      </w:divsChild>
    </w:div>
    <w:div w:id="1827866185">
      <w:bodyDiv w:val="1"/>
      <w:marLeft w:val="0"/>
      <w:marRight w:val="0"/>
      <w:marTop w:val="0"/>
      <w:marBottom w:val="0"/>
      <w:divBdr>
        <w:top w:val="none" w:sz="0" w:space="0" w:color="auto"/>
        <w:left w:val="none" w:sz="0" w:space="0" w:color="auto"/>
        <w:bottom w:val="none" w:sz="0" w:space="0" w:color="auto"/>
        <w:right w:val="none" w:sz="0" w:space="0" w:color="auto"/>
      </w:divBdr>
      <w:divsChild>
        <w:div w:id="168181734">
          <w:marLeft w:val="547"/>
          <w:marRight w:val="0"/>
          <w:marTop w:val="0"/>
          <w:marBottom w:val="0"/>
          <w:divBdr>
            <w:top w:val="none" w:sz="0" w:space="0" w:color="auto"/>
            <w:left w:val="none" w:sz="0" w:space="0" w:color="auto"/>
            <w:bottom w:val="none" w:sz="0" w:space="0" w:color="auto"/>
            <w:right w:val="none" w:sz="0" w:space="0" w:color="auto"/>
          </w:divBdr>
        </w:div>
      </w:divsChild>
    </w:div>
    <w:div w:id="1931963114">
      <w:bodyDiv w:val="1"/>
      <w:marLeft w:val="0"/>
      <w:marRight w:val="0"/>
      <w:marTop w:val="0"/>
      <w:marBottom w:val="0"/>
      <w:divBdr>
        <w:top w:val="none" w:sz="0" w:space="0" w:color="auto"/>
        <w:left w:val="none" w:sz="0" w:space="0" w:color="auto"/>
        <w:bottom w:val="none" w:sz="0" w:space="0" w:color="auto"/>
        <w:right w:val="none" w:sz="0" w:space="0" w:color="auto"/>
      </w:divBdr>
      <w:divsChild>
        <w:div w:id="646321026">
          <w:marLeft w:val="907"/>
          <w:marRight w:val="0"/>
          <w:marTop w:val="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1984139">
      <w:bodyDiv w:val="1"/>
      <w:marLeft w:val="0"/>
      <w:marRight w:val="0"/>
      <w:marTop w:val="0"/>
      <w:marBottom w:val="0"/>
      <w:divBdr>
        <w:top w:val="none" w:sz="0" w:space="0" w:color="auto"/>
        <w:left w:val="none" w:sz="0" w:space="0" w:color="auto"/>
        <w:bottom w:val="none" w:sz="0" w:space="0" w:color="auto"/>
        <w:right w:val="none" w:sz="0" w:space="0" w:color="auto"/>
      </w:divBdr>
    </w:div>
    <w:div w:id="2081438771">
      <w:bodyDiv w:val="1"/>
      <w:marLeft w:val="0"/>
      <w:marRight w:val="0"/>
      <w:marTop w:val="0"/>
      <w:marBottom w:val="0"/>
      <w:divBdr>
        <w:top w:val="none" w:sz="0" w:space="0" w:color="auto"/>
        <w:left w:val="none" w:sz="0" w:space="0" w:color="auto"/>
        <w:bottom w:val="none" w:sz="0" w:space="0" w:color="auto"/>
        <w:right w:val="none" w:sz="0" w:space="0" w:color="auto"/>
      </w:divBdr>
      <w:divsChild>
        <w:div w:id="1824001965">
          <w:marLeft w:val="90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1BDEF-2F0C-4CAD-9847-82464F1F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86</TotalTime>
  <Pages>4</Pages>
  <Words>1579</Words>
  <Characters>9006</Characters>
  <Application>Microsoft Office Word</Application>
  <DocSecurity>0</DocSecurity>
  <Lines>75</Lines>
  <Paragraphs>21</Paragraphs>
  <ScaleCrop>false</ScaleCrop>
  <Company>Microsoft</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34</cp:revision>
  <cp:lastPrinted>2022-09-28T10:03:00Z</cp:lastPrinted>
  <dcterms:created xsi:type="dcterms:W3CDTF">2022-11-04T01:57:00Z</dcterms:created>
  <dcterms:modified xsi:type="dcterms:W3CDTF">2022-11-04T08:40:00Z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